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eastAsiaTheme="minorEastAsia"/>
          <w:lang w:eastAsia="zh-CN"/>
        </w:rPr>
        <w:sectPr>
          <w:headerReference r:id="rId4" w:type="first"/>
          <w:headerReference r:id="rId3" w:type="default"/>
          <w:footerReference r:id="rId5" w:type="default"/>
          <w:footerReference r:id="rId6" w:type="even"/>
          <w:type w:val="continuous"/>
          <w:pgSz w:w="11906" w:h="16838"/>
          <w:pgMar w:top="1440" w:right="1701" w:bottom="1440" w:left="1701" w:header="851" w:footer="992" w:gutter="0"/>
          <w:pgNumType w:fmt="numberInDash"/>
          <w:cols w:space="720" w:num="1"/>
          <w:titlePg/>
          <w:docGrid w:linePitch="312" w:charSpace="0"/>
        </w:sectPr>
      </w:pPr>
      <w:r>
        <w:rPr>
          <w:rFonts w:hint="eastAsia" w:eastAsiaTheme="minorEastAsia"/>
          <w:lang w:eastAsia="zh-CN"/>
        </w:rPr>
        <w:drawing>
          <wp:inline distT="0" distB="0" distL="114300" distR="114300">
            <wp:extent cx="5397500" cy="7886065"/>
            <wp:effectExtent l="0" t="0" r="12700" b="635"/>
            <wp:docPr id="4" name="图片 4" descr="1667524925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67524925122"/>
                    <pic:cNvPicPr>
                      <a:picLocks noChangeAspect="1"/>
                    </pic:cNvPicPr>
                  </pic:nvPicPr>
                  <pic:blipFill>
                    <a:blip r:embed="rId9"/>
                    <a:stretch>
                      <a:fillRect/>
                    </a:stretch>
                  </pic:blipFill>
                  <pic:spPr>
                    <a:xfrm>
                      <a:off x="0" y="0"/>
                      <a:ext cx="5397500" cy="7886065"/>
                    </a:xfrm>
                    <a:prstGeom prst="rect">
                      <a:avLst/>
                    </a:prstGeom>
                  </pic:spPr>
                </pic:pic>
              </a:graphicData>
            </a:graphic>
          </wp:inline>
        </w:drawing>
      </w:r>
    </w:p>
    <w:p>
      <w:pPr>
        <w:rPr>
          <w:rFonts w:hint="eastAsia" w:ascii="方正小标宋简体" w:hAnsi="宋体" w:eastAsia="方正小标宋简体" w:cs="宋体"/>
          <w:sz w:val="44"/>
          <w:szCs w:val="44"/>
          <w:lang w:eastAsia="zh-CN"/>
        </w:rPr>
      </w:pPr>
    </w:p>
    <w:p>
      <w:pPr>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rPr>
        <w:t>目 录</w:t>
      </w:r>
    </w:p>
    <w:p>
      <w:pPr>
        <w:pStyle w:val="9"/>
      </w:pPr>
    </w:p>
    <w:p>
      <w:pPr>
        <w:pStyle w:val="18"/>
      </w:pPr>
    </w:p>
    <w:p>
      <w:pPr>
        <w:pStyle w:val="33"/>
        <w:ind w:firstLine="640"/>
        <w:rPr>
          <w:rFonts w:ascii="黑体" w:hAnsi="黑体" w:eastAsia="黑体" w:cs="宋体"/>
          <w:sz w:val="32"/>
          <w:szCs w:val="32"/>
        </w:rPr>
      </w:pPr>
      <w:r>
        <w:rPr>
          <w:rFonts w:hint="eastAsia" w:ascii="黑体" w:hAnsi="黑体" w:eastAsia="黑体" w:cs="宋体"/>
          <w:sz w:val="32"/>
          <w:szCs w:val="32"/>
        </w:rPr>
        <w:t>第一章    竞争谈判公告</w:t>
      </w:r>
    </w:p>
    <w:p>
      <w:pPr>
        <w:pStyle w:val="33"/>
        <w:ind w:left="1755" w:firstLine="0" w:firstLineChars="0"/>
        <w:rPr>
          <w:rFonts w:ascii="方正小标宋简体" w:hAnsi="宋体" w:eastAsia="方正小标宋简体" w:cs="宋体"/>
          <w:sz w:val="24"/>
        </w:rPr>
      </w:pPr>
    </w:p>
    <w:p>
      <w:pPr>
        <w:pStyle w:val="33"/>
        <w:ind w:firstLine="640"/>
        <w:rPr>
          <w:rFonts w:ascii="黑体" w:hAnsi="黑体" w:eastAsia="黑体" w:cs="宋体"/>
          <w:sz w:val="32"/>
          <w:szCs w:val="32"/>
        </w:rPr>
      </w:pPr>
      <w:r>
        <w:rPr>
          <w:rFonts w:hint="eastAsia" w:ascii="黑体" w:hAnsi="黑体" w:eastAsia="黑体" w:cs="宋体"/>
          <w:sz w:val="32"/>
          <w:szCs w:val="32"/>
        </w:rPr>
        <w:t>第二章    竞争谈判须知</w:t>
      </w:r>
    </w:p>
    <w:p>
      <w:pPr>
        <w:rPr>
          <w:rFonts w:ascii="黑体" w:hAnsi="黑体" w:eastAsia="黑体" w:cs="宋体"/>
          <w:sz w:val="32"/>
          <w:szCs w:val="32"/>
        </w:rPr>
      </w:pPr>
    </w:p>
    <w:p>
      <w:pPr>
        <w:ind w:firstLine="640" w:firstLineChars="200"/>
        <w:rPr>
          <w:rFonts w:ascii="黑体" w:hAnsi="黑体" w:eastAsia="黑体" w:cs="宋体"/>
          <w:sz w:val="32"/>
          <w:szCs w:val="32"/>
        </w:rPr>
      </w:pPr>
      <w:r>
        <w:rPr>
          <w:rFonts w:hint="eastAsia" w:ascii="黑体" w:hAnsi="黑体" w:eastAsia="黑体" w:cs="宋体"/>
          <w:sz w:val="32"/>
          <w:szCs w:val="32"/>
        </w:rPr>
        <w:t>第三章    竞争谈判要求</w:t>
      </w:r>
    </w:p>
    <w:p>
      <w:pPr>
        <w:rPr>
          <w:rFonts w:ascii="黑体" w:hAnsi="黑体" w:eastAsia="黑体" w:cs="宋体"/>
          <w:sz w:val="32"/>
          <w:szCs w:val="32"/>
        </w:rPr>
      </w:pPr>
    </w:p>
    <w:p>
      <w:pPr>
        <w:ind w:firstLine="640" w:firstLineChars="200"/>
        <w:rPr>
          <w:rFonts w:ascii="黑体" w:hAnsi="黑体" w:eastAsia="黑体" w:cs="宋体"/>
          <w:sz w:val="32"/>
          <w:szCs w:val="32"/>
        </w:rPr>
      </w:pPr>
      <w:r>
        <w:rPr>
          <w:rFonts w:hint="eastAsia" w:ascii="黑体" w:hAnsi="黑体" w:eastAsia="黑体" w:cs="宋体"/>
          <w:sz w:val="32"/>
          <w:szCs w:val="32"/>
        </w:rPr>
        <w:t>第四章    合同格式</w:t>
      </w:r>
    </w:p>
    <w:p>
      <w:pPr>
        <w:rPr>
          <w:rFonts w:ascii="黑体" w:hAnsi="黑体" w:eastAsia="黑体" w:cs="宋体"/>
          <w:sz w:val="32"/>
          <w:szCs w:val="32"/>
        </w:rPr>
      </w:pPr>
    </w:p>
    <w:p>
      <w:pPr>
        <w:ind w:firstLine="640" w:firstLineChars="200"/>
        <w:rPr>
          <w:rFonts w:ascii="黑体" w:hAnsi="黑体" w:eastAsia="黑体" w:cs="宋体"/>
          <w:sz w:val="32"/>
          <w:szCs w:val="32"/>
        </w:rPr>
      </w:pPr>
      <w:r>
        <w:rPr>
          <w:rFonts w:hint="eastAsia" w:ascii="黑体" w:hAnsi="黑体" w:eastAsia="黑体" w:cs="宋体"/>
          <w:sz w:val="32"/>
          <w:szCs w:val="32"/>
        </w:rPr>
        <w:t>第五章    竞争谈判申请文件格式</w:t>
      </w:r>
    </w:p>
    <w:p>
      <w:pPr>
        <w:rPr>
          <w:rFonts w:ascii="黑体" w:hAnsi="黑体" w:eastAsia="黑体" w:cs="宋体"/>
          <w:b/>
          <w:bCs/>
          <w:sz w:val="32"/>
          <w:szCs w:val="32"/>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r>
        <w:rPr>
          <w:rFonts w:hint="eastAsia" w:ascii="宋体" w:hAnsi="宋体" w:eastAsia="宋体" w:cs="宋体"/>
          <w:b/>
          <w:bCs/>
          <w:sz w:val="24"/>
        </w:rPr>
        <w:t xml:space="preserve"> </w:t>
      </w: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p>
    <w:p>
      <w:pPr>
        <w:rPr>
          <w:rFonts w:ascii="宋体" w:hAnsi="宋体" w:eastAsia="宋体" w:cs="宋体"/>
          <w:b/>
          <w:bCs/>
          <w:sz w:val="24"/>
        </w:rPr>
      </w:pPr>
      <w:r>
        <w:rPr>
          <w:rFonts w:ascii="宋体" w:hAnsi="宋体" w:eastAsia="宋体" w:cs="宋体"/>
          <w:b/>
          <w:bCs/>
          <w:sz w:val="24"/>
        </w:rPr>
        <w:br w:type="page"/>
      </w:r>
    </w:p>
    <w:p>
      <w:pPr>
        <w:spacing w:line="480" w:lineRule="exact"/>
        <w:jc w:val="center"/>
        <w:rPr>
          <w:rFonts w:ascii="仿宋_GB2312" w:hAnsi="仿宋_GB2312" w:eastAsia="仿宋_GB2312" w:cs="仿宋_GB2312"/>
          <w:sz w:val="44"/>
          <w:szCs w:val="44"/>
        </w:rPr>
      </w:pPr>
      <w:r>
        <w:rPr>
          <w:rFonts w:hint="eastAsia" w:ascii="方正小标宋简体" w:hAnsi="宋体" w:eastAsia="方正小标宋简体" w:cs="宋体"/>
          <w:sz w:val="44"/>
          <w:szCs w:val="44"/>
        </w:rPr>
        <w:t>第一章</w:t>
      </w:r>
      <w:r>
        <w:rPr>
          <w:rFonts w:ascii="方正小标宋简体" w:hAnsi="宋体" w:eastAsia="方正小标宋简体" w:cs="宋体"/>
          <w:sz w:val="44"/>
          <w:szCs w:val="44"/>
        </w:rPr>
        <w:t xml:space="preserve"> </w:t>
      </w:r>
      <w:r>
        <w:rPr>
          <w:rFonts w:hint="eastAsia" w:ascii="方正小标宋简体" w:hAnsi="宋体" w:eastAsia="方正小标宋简体" w:cs="宋体"/>
          <w:sz w:val="44"/>
          <w:szCs w:val="44"/>
        </w:rPr>
        <w:t>竞争谈判公告</w:t>
      </w:r>
    </w:p>
    <w:p>
      <w:pPr>
        <w:widowControl/>
        <w:spacing w:line="480" w:lineRule="exact"/>
        <w:ind w:firstLine="560" w:firstLineChars="200"/>
        <w:jc w:val="left"/>
        <w:rPr>
          <w:rFonts w:ascii="宋体" w:hAnsi="宋体" w:eastAsia="宋体" w:cs="宋体"/>
          <w:sz w:val="28"/>
          <w:szCs w:val="28"/>
        </w:rPr>
      </w:pPr>
    </w:p>
    <w:p>
      <w:pPr>
        <w:widowControl/>
        <w:adjustRightInd w:val="0"/>
        <w:snapToGrid w:val="0"/>
        <w:spacing w:line="360" w:lineRule="auto"/>
        <w:ind w:firstLine="480" w:firstLineChars="200"/>
        <w:jc w:val="left"/>
        <w:rPr>
          <w:rFonts w:ascii="宋体" w:hAnsi="宋体" w:eastAsia="宋体" w:cs="宋体"/>
          <w:color w:val="222222"/>
          <w:kern w:val="0"/>
          <w:sz w:val="24"/>
        </w:rPr>
      </w:pPr>
      <w:r>
        <w:rPr>
          <w:rFonts w:hint="eastAsia" w:ascii="宋体" w:hAnsi="宋体" w:eastAsia="宋体" w:cs="宋体"/>
          <w:kern w:val="0"/>
          <w:sz w:val="24"/>
          <w:lang w:eastAsia="zh-Hans"/>
        </w:rPr>
        <w:t>四川</w:t>
      </w:r>
      <w:r>
        <w:rPr>
          <w:rFonts w:hint="eastAsia" w:ascii="宋体" w:hAnsi="宋体" w:eastAsia="宋体" w:cs="宋体"/>
          <w:kern w:val="0"/>
          <w:sz w:val="24"/>
          <w:lang w:val="en-US" w:eastAsia="zh-CN"/>
        </w:rPr>
        <w:t>省轨道交通投资有限</w:t>
      </w:r>
      <w:r>
        <w:rPr>
          <w:rFonts w:hint="eastAsia" w:ascii="宋体" w:hAnsi="宋体" w:eastAsia="宋体" w:cs="宋体"/>
          <w:kern w:val="0"/>
          <w:sz w:val="24"/>
          <w:lang w:eastAsia="zh-Hans"/>
        </w:rPr>
        <w:t>责任公司</w:t>
      </w:r>
      <w:r>
        <w:rPr>
          <w:rFonts w:hint="eastAsia" w:ascii="宋体" w:hAnsi="宋体" w:eastAsia="宋体" w:cs="宋体"/>
          <w:sz w:val="24"/>
        </w:rPr>
        <w:t>拟对</w:t>
      </w:r>
      <w:r>
        <w:rPr>
          <w:rFonts w:hint="eastAsia" w:ascii="宋体" w:hAnsi="宋体" w:eastAsia="宋体" w:cs="宋体"/>
          <w:kern w:val="0"/>
          <w:sz w:val="24"/>
          <w:u w:val="single"/>
          <w:lang w:eastAsia="zh-Hans"/>
        </w:rPr>
        <w:t>四川</w:t>
      </w:r>
      <w:r>
        <w:rPr>
          <w:rFonts w:hint="eastAsia" w:ascii="宋体" w:hAnsi="宋体" w:eastAsia="宋体" w:cs="宋体"/>
          <w:kern w:val="0"/>
          <w:sz w:val="24"/>
          <w:u w:val="single"/>
          <w:lang w:val="en-US" w:eastAsia="zh-CN"/>
        </w:rPr>
        <w:t>省轨道交通投资</w:t>
      </w:r>
      <w:r>
        <w:rPr>
          <w:rFonts w:hint="eastAsia" w:ascii="宋体" w:hAnsi="宋体" w:eastAsia="宋体" w:cs="宋体"/>
          <w:kern w:val="0"/>
          <w:sz w:val="24"/>
          <w:u w:val="single"/>
          <w:lang w:eastAsia="zh-Hans"/>
        </w:rPr>
        <w:t>有限责任公司</w:t>
      </w:r>
      <w:r>
        <w:rPr>
          <w:rFonts w:hint="eastAsia" w:ascii="宋体" w:hAnsi="宋体" w:eastAsia="宋体" w:cs="宋体"/>
          <w:kern w:val="0"/>
          <w:sz w:val="24"/>
          <w:u w:val="single"/>
          <w:lang w:val="en-US" w:eastAsia="zh-CN"/>
        </w:rPr>
        <w:t>会议室设备音视频系统采购</w:t>
      </w:r>
      <w:r>
        <w:rPr>
          <w:rFonts w:hint="eastAsia" w:ascii="宋体" w:hAnsi="宋体" w:eastAsia="宋体" w:cs="宋体"/>
          <w:sz w:val="24"/>
        </w:rPr>
        <w:t>项目进行竞争谈判采购邀请，现</w:t>
      </w:r>
      <w:r>
        <w:rPr>
          <w:rFonts w:hint="eastAsia" w:ascii="宋体" w:hAnsi="宋体" w:eastAsia="宋体" w:cs="宋体"/>
          <w:kern w:val="0"/>
          <w:sz w:val="24"/>
        </w:rPr>
        <w:t>诚挚邀请符合要求的竞争谈判申请人参与本项目报价</w:t>
      </w:r>
      <w:r>
        <w:rPr>
          <w:rFonts w:hint="eastAsia" w:ascii="宋体" w:hAnsi="宋体" w:eastAsia="宋体" w:cs="宋体"/>
          <w:color w:val="222222"/>
          <w:kern w:val="0"/>
          <w:sz w:val="24"/>
        </w:rPr>
        <w:t>。有关事项如下：</w:t>
      </w:r>
    </w:p>
    <w:p>
      <w:pPr>
        <w:pStyle w:val="45"/>
        <w:widowControl/>
        <w:adjustRightInd w:val="0"/>
        <w:snapToGrid w:val="0"/>
        <w:spacing w:line="360" w:lineRule="auto"/>
        <w:ind w:firstLine="482"/>
        <w:jc w:val="left"/>
        <w:rPr>
          <w:rFonts w:ascii="宋体" w:hAnsi="宋体" w:eastAsia="宋体" w:cs="宋体"/>
          <w:b/>
          <w:bCs/>
          <w:color w:val="222222"/>
          <w:kern w:val="0"/>
          <w:sz w:val="24"/>
        </w:rPr>
      </w:pPr>
      <w:r>
        <w:rPr>
          <w:rFonts w:hint="eastAsia" w:ascii="宋体" w:hAnsi="宋体" w:eastAsia="宋体" w:cs="宋体"/>
          <w:b/>
          <w:bCs/>
          <w:color w:val="222222"/>
          <w:kern w:val="0"/>
          <w:sz w:val="24"/>
        </w:rPr>
        <w:t>1. 项目名称</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u w:val="single"/>
          <w:lang w:eastAsia="zh-Hans"/>
        </w:rPr>
        <w:t>四川</w:t>
      </w:r>
      <w:r>
        <w:rPr>
          <w:rFonts w:hint="eastAsia" w:ascii="宋体" w:hAnsi="宋体" w:eastAsia="宋体" w:cs="宋体"/>
          <w:kern w:val="0"/>
          <w:sz w:val="24"/>
          <w:u w:val="single"/>
          <w:lang w:val="en-US" w:eastAsia="zh-CN"/>
        </w:rPr>
        <w:t>省轨道交通投资</w:t>
      </w:r>
      <w:r>
        <w:rPr>
          <w:rFonts w:hint="eastAsia" w:ascii="宋体" w:hAnsi="宋体" w:eastAsia="宋体" w:cs="宋体"/>
          <w:kern w:val="0"/>
          <w:sz w:val="24"/>
          <w:u w:val="single"/>
          <w:lang w:eastAsia="zh-Hans"/>
        </w:rPr>
        <w:t>有限责任公司</w:t>
      </w:r>
      <w:r>
        <w:rPr>
          <w:rFonts w:hint="eastAsia" w:ascii="宋体" w:hAnsi="宋体" w:eastAsia="宋体" w:cs="宋体"/>
          <w:kern w:val="0"/>
          <w:sz w:val="24"/>
          <w:u w:val="single"/>
          <w:lang w:val="en-US" w:eastAsia="zh-CN"/>
        </w:rPr>
        <w:t>会议室设备音视频系统采购</w:t>
      </w:r>
      <w:r>
        <w:rPr>
          <w:rFonts w:hint="eastAsia" w:ascii="宋体" w:hAnsi="宋体" w:eastAsia="宋体" w:cs="宋体"/>
          <w:sz w:val="24"/>
        </w:rPr>
        <w:t>项目。</w:t>
      </w:r>
    </w:p>
    <w:p>
      <w:pPr>
        <w:pStyle w:val="9"/>
        <w:adjustRightInd w:val="0"/>
        <w:snapToGrid w:val="0"/>
        <w:spacing w:after="0" w:line="360" w:lineRule="auto"/>
        <w:ind w:firstLine="470" w:firstLineChars="195"/>
        <w:rPr>
          <w:rFonts w:ascii="宋体" w:hAnsi="宋体" w:eastAsia="宋体" w:cs="宋体"/>
          <w:b/>
          <w:bCs/>
          <w:kern w:val="0"/>
          <w:sz w:val="24"/>
        </w:rPr>
      </w:pPr>
      <w:r>
        <w:rPr>
          <w:rFonts w:hint="eastAsia" w:ascii="宋体" w:hAnsi="宋体" w:eastAsia="宋体" w:cs="宋体"/>
          <w:b/>
          <w:bCs/>
          <w:kern w:val="0"/>
          <w:sz w:val="24"/>
        </w:rPr>
        <w:t>2. 采购需求</w:t>
      </w:r>
    </w:p>
    <w:p>
      <w:pPr>
        <w:spacing w:line="400" w:lineRule="exact"/>
        <w:ind w:firstLine="480" w:firstLineChars="200"/>
        <w:rPr>
          <w:rFonts w:ascii="宋体" w:hAnsi="宋体"/>
          <w:sz w:val="24"/>
          <w:szCs w:val="24"/>
          <w:highlight w:val="none"/>
        </w:rPr>
      </w:pPr>
      <w:r>
        <w:rPr>
          <w:rFonts w:ascii="宋体" w:hAnsi="宋体"/>
          <w:sz w:val="24"/>
          <w:szCs w:val="24"/>
          <w:highlight w:val="none"/>
        </w:rPr>
        <w:t>2.1</w:t>
      </w:r>
      <w:r>
        <w:rPr>
          <w:rFonts w:hint="eastAsia" w:ascii="宋体" w:hAnsi="宋体"/>
          <w:sz w:val="24"/>
          <w:szCs w:val="24"/>
          <w:highlight w:val="none"/>
          <w:lang w:val="en-US" w:eastAsia="zh-CN"/>
        </w:rPr>
        <w:t>项目</w:t>
      </w:r>
      <w:r>
        <w:rPr>
          <w:rFonts w:hint="eastAsia" w:ascii="宋体" w:hAnsi="宋体"/>
          <w:sz w:val="24"/>
          <w:szCs w:val="24"/>
          <w:highlight w:val="none"/>
        </w:rPr>
        <w:t>地点：四川省</w:t>
      </w:r>
      <w:r>
        <w:rPr>
          <w:rFonts w:hint="eastAsia" w:ascii="宋体" w:hAnsi="宋体"/>
          <w:sz w:val="24"/>
          <w:szCs w:val="24"/>
          <w:highlight w:val="none"/>
          <w:lang w:eastAsia="zh-CN"/>
        </w:rPr>
        <w:t>成都市</w:t>
      </w:r>
      <w:r>
        <w:rPr>
          <w:rFonts w:hint="eastAsia" w:ascii="宋体" w:hAnsi="宋体"/>
          <w:sz w:val="24"/>
          <w:szCs w:val="24"/>
          <w:highlight w:val="none"/>
        </w:rPr>
        <w:t>。</w:t>
      </w:r>
    </w:p>
    <w:p>
      <w:pPr>
        <w:spacing w:line="400" w:lineRule="exact"/>
        <w:ind w:firstLine="480" w:firstLineChars="200"/>
        <w:rPr>
          <w:rFonts w:ascii="宋体" w:hAnsi="宋体"/>
          <w:kern w:val="0"/>
          <w:sz w:val="24"/>
          <w:szCs w:val="24"/>
          <w:highlight w:val="none"/>
        </w:rPr>
      </w:pPr>
      <w:r>
        <w:rPr>
          <w:rFonts w:ascii="宋体" w:hAnsi="宋体"/>
          <w:sz w:val="24"/>
          <w:szCs w:val="24"/>
          <w:highlight w:val="none"/>
        </w:rPr>
        <w:t>2.2</w:t>
      </w:r>
      <w:r>
        <w:rPr>
          <w:rFonts w:hint="eastAsia" w:ascii="宋体" w:hAnsi="宋体"/>
          <w:sz w:val="24"/>
          <w:szCs w:val="24"/>
          <w:highlight w:val="none"/>
        </w:rPr>
        <w:t>建设规模：</w:t>
      </w:r>
      <w:r>
        <w:rPr>
          <w:rFonts w:hint="eastAsia" w:ascii="宋体" w:hAnsi="宋体"/>
          <w:kern w:val="0"/>
          <w:sz w:val="24"/>
          <w:szCs w:val="24"/>
          <w:highlight w:val="none"/>
        </w:rPr>
        <w:t>约</w:t>
      </w:r>
      <w:r>
        <w:rPr>
          <w:rFonts w:hint="eastAsia" w:ascii="宋体" w:hAnsi="宋体"/>
          <w:kern w:val="0"/>
          <w:sz w:val="24"/>
          <w:szCs w:val="24"/>
          <w:highlight w:val="none"/>
          <w:lang w:val="en-US" w:eastAsia="zh-CN"/>
        </w:rPr>
        <w:t>350平米</w:t>
      </w:r>
      <w:r>
        <w:rPr>
          <w:rFonts w:hint="eastAsia" w:ascii="宋体" w:hAnsi="宋体"/>
          <w:kern w:val="0"/>
          <w:sz w:val="24"/>
          <w:szCs w:val="24"/>
          <w:highlight w:val="none"/>
        </w:rPr>
        <w:t>（具体以实际面积为准）。</w:t>
      </w:r>
    </w:p>
    <w:p>
      <w:pPr>
        <w:spacing w:line="400" w:lineRule="exact"/>
        <w:ind w:firstLine="480" w:firstLineChars="200"/>
        <w:rPr>
          <w:rFonts w:ascii="宋体" w:hAnsi="宋体"/>
          <w:sz w:val="24"/>
          <w:szCs w:val="24"/>
          <w:highlight w:val="none"/>
        </w:rPr>
      </w:pPr>
      <w:r>
        <w:rPr>
          <w:rFonts w:ascii="宋体" w:hAnsi="宋体"/>
          <w:sz w:val="24"/>
          <w:szCs w:val="24"/>
          <w:highlight w:val="none"/>
        </w:rPr>
        <w:t>2.3</w:t>
      </w:r>
      <w:r>
        <w:rPr>
          <w:rFonts w:hint="eastAsia" w:ascii="宋体" w:hAnsi="宋体"/>
          <w:sz w:val="24"/>
          <w:szCs w:val="24"/>
          <w:highlight w:val="none"/>
        </w:rPr>
        <w:t>计划工期：</w:t>
      </w:r>
      <w:r>
        <w:rPr>
          <w:rFonts w:hint="eastAsia" w:ascii="宋体" w:hAnsi="宋体"/>
          <w:sz w:val="24"/>
          <w:szCs w:val="24"/>
          <w:highlight w:val="none"/>
          <w:u w:val="single"/>
          <w:lang w:val="en-US" w:eastAsia="zh-CN"/>
        </w:rPr>
        <w:t>10</w:t>
      </w:r>
      <w:r>
        <w:rPr>
          <w:rFonts w:hint="eastAsia" w:ascii="宋体" w:hAnsi="宋体"/>
          <w:sz w:val="24"/>
          <w:szCs w:val="24"/>
          <w:highlight w:val="none"/>
        </w:rPr>
        <w:t>个日历天（其中</w:t>
      </w:r>
      <w:r>
        <w:rPr>
          <w:rFonts w:hint="eastAsia" w:ascii="宋体" w:hAnsi="宋体"/>
          <w:sz w:val="24"/>
          <w:szCs w:val="24"/>
          <w:highlight w:val="none"/>
          <w:lang w:val="en-US" w:eastAsia="zh-CN"/>
        </w:rPr>
        <w:t>前期布线5</w:t>
      </w:r>
      <w:r>
        <w:rPr>
          <w:rFonts w:hint="eastAsia" w:ascii="宋体" w:hAnsi="宋体"/>
          <w:sz w:val="24"/>
          <w:szCs w:val="24"/>
          <w:highlight w:val="none"/>
        </w:rPr>
        <w:t>个日历天，</w:t>
      </w:r>
      <w:r>
        <w:rPr>
          <w:rFonts w:hint="eastAsia" w:ascii="宋体" w:hAnsi="宋体"/>
          <w:sz w:val="24"/>
          <w:szCs w:val="24"/>
          <w:highlight w:val="none"/>
          <w:lang w:val="en-US" w:eastAsia="zh-CN"/>
        </w:rPr>
        <w:t>供货及安装调试5</w:t>
      </w:r>
      <w:r>
        <w:rPr>
          <w:rFonts w:hint="eastAsia" w:ascii="宋体" w:hAnsi="宋体"/>
          <w:sz w:val="24"/>
          <w:szCs w:val="24"/>
          <w:highlight w:val="none"/>
        </w:rPr>
        <w:t>个日历天）。</w:t>
      </w:r>
    </w:p>
    <w:p>
      <w:pPr>
        <w:spacing w:line="400" w:lineRule="exact"/>
        <w:ind w:firstLine="480" w:firstLineChars="200"/>
        <w:rPr>
          <w:rFonts w:ascii="宋体" w:hAnsi="宋体"/>
          <w:sz w:val="24"/>
          <w:szCs w:val="24"/>
          <w:highlight w:val="none"/>
        </w:rPr>
      </w:pPr>
      <w:r>
        <w:rPr>
          <w:rFonts w:hint="eastAsia" w:ascii="宋体" w:hAnsi="宋体"/>
          <w:sz w:val="24"/>
          <w:szCs w:val="24"/>
          <w:highlight w:val="none"/>
        </w:rPr>
        <w:t>2.4质量标准：满足相应规范要求并通过有关行政主管部门审查；施工工程质量标准：达到国家现行验收合格标准。</w:t>
      </w:r>
    </w:p>
    <w:p>
      <w:pPr>
        <w:autoSpaceDE w:val="0"/>
        <w:autoSpaceDN w:val="0"/>
        <w:adjustRightInd w:val="0"/>
        <w:spacing w:line="400" w:lineRule="exact"/>
        <w:ind w:right="-20" w:firstLine="480" w:firstLineChars="200"/>
        <w:rPr>
          <w:rFonts w:hint="eastAsia" w:ascii="宋体" w:hAnsi="宋体" w:cs="宋体"/>
          <w:sz w:val="24"/>
          <w:szCs w:val="24"/>
          <w:highlight w:val="none"/>
          <w:lang w:eastAsia="zh-CN"/>
        </w:rPr>
      </w:pPr>
      <w:r>
        <w:rPr>
          <w:rFonts w:ascii="宋体" w:hAnsi="宋体"/>
          <w:sz w:val="24"/>
          <w:szCs w:val="24"/>
          <w:highlight w:val="none"/>
        </w:rPr>
        <w:t>2.</w:t>
      </w:r>
      <w:r>
        <w:rPr>
          <w:rFonts w:hint="eastAsia" w:ascii="宋体" w:hAnsi="宋体"/>
          <w:sz w:val="24"/>
          <w:szCs w:val="24"/>
          <w:highlight w:val="none"/>
        </w:rPr>
        <w:t>5</w:t>
      </w:r>
      <w:r>
        <w:rPr>
          <w:rFonts w:hint="eastAsia" w:ascii="宋体" w:hAnsi="宋体"/>
          <w:sz w:val="24"/>
          <w:szCs w:val="24"/>
          <w:highlight w:val="none"/>
          <w:lang w:val="en-US" w:eastAsia="zh-CN"/>
        </w:rPr>
        <w:t>项目</w:t>
      </w:r>
      <w:r>
        <w:rPr>
          <w:rFonts w:hint="eastAsia" w:ascii="宋体" w:hAnsi="宋体"/>
          <w:sz w:val="24"/>
          <w:szCs w:val="24"/>
          <w:highlight w:val="none"/>
        </w:rPr>
        <w:t>范围：</w:t>
      </w:r>
      <w:r>
        <w:rPr>
          <w:rFonts w:hint="eastAsia" w:ascii="宋体" w:hAnsi="宋体" w:cs="宋体"/>
          <w:sz w:val="24"/>
          <w:szCs w:val="24"/>
          <w:highlight w:val="none"/>
        </w:rPr>
        <w:t>对</w:t>
      </w:r>
      <w:r>
        <w:rPr>
          <w:rFonts w:hint="eastAsia" w:ascii="宋体" w:hAnsi="宋体" w:cs="宋体"/>
          <w:sz w:val="24"/>
          <w:szCs w:val="24"/>
          <w:highlight w:val="none"/>
          <w:lang w:eastAsia="zh-CN"/>
        </w:rPr>
        <w:t>会议室</w:t>
      </w:r>
      <w:r>
        <w:rPr>
          <w:rFonts w:hint="eastAsia" w:ascii="宋体" w:hAnsi="宋体" w:cs="宋体"/>
          <w:sz w:val="24"/>
          <w:szCs w:val="24"/>
          <w:highlight w:val="none"/>
          <w:lang w:val="en-US" w:eastAsia="zh-CN"/>
        </w:rPr>
        <w:t>一、会议室二</w:t>
      </w:r>
      <w:r>
        <w:rPr>
          <w:rFonts w:hint="eastAsia" w:ascii="宋体" w:hAnsi="宋体" w:cs="宋体"/>
          <w:sz w:val="24"/>
          <w:szCs w:val="24"/>
          <w:highlight w:val="none"/>
        </w:rPr>
        <w:t>的多媒体设备设计、供货施工、整体移交等内容，包括但不限于方案设计及施工图设计等及甲方委派的其他任务</w:t>
      </w:r>
      <w:r>
        <w:rPr>
          <w:rFonts w:hint="eastAsia" w:ascii="宋体" w:hAnsi="宋体" w:cs="宋体"/>
          <w:sz w:val="24"/>
          <w:szCs w:val="24"/>
          <w:highlight w:val="none"/>
          <w:lang w:eastAsia="zh-CN"/>
        </w:rPr>
        <w:t>。</w:t>
      </w:r>
    </w:p>
    <w:p>
      <w:pPr>
        <w:spacing w:line="40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val="en-US" w:eastAsia="zh-CN"/>
        </w:rPr>
        <w:t>2.6</w:t>
      </w:r>
      <w:r>
        <w:rPr>
          <w:rFonts w:hint="eastAsia" w:ascii="宋体" w:hAnsi="宋体"/>
          <w:sz w:val="24"/>
          <w:szCs w:val="24"/>
          <w:highlight w:val="none"/>
          <w:lang w:eastAsia="zh-CN"/>
        </w:rPr>
        <w:t>设备及软件的安装调试</w:t>
      </w:r>
    </w:p>
    <w:p>
      <w:pPr>
        <w:spacing w:line="40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val="en-US" w:eastAsia="zh-CN"/>
        </w:rPr>
        <w:t>2.6.1</w:t>
      </w:r>
      <w:r>
        <w:rPr>
          <w:rFonts w:hint="eastAsia" w:ascii="宋体" w:hAnsi="宋体"/>
          <w:sz w:val="24"/>
          <w:szCs w:val="24"/>
          <w:highlight w:val="none"/>
          <w:lang w:eastAsia="zh-CN"/>
        </w:rPr>
        <w:t>货物送达采购方指定地点后，</w:t>
      </w:r>
      <w:r>
        <w:rPr>
          <w:rFonts w:hint="eastAsia" w:ascii="宋体" w:hAnsi="宋体"/>
          <w:sz w:val="24"/>
          <w:szCs w:val="24"/>
          <w:highlight w:val="none"/>
          <w:lang w:val="en-US" w:eastAsia="zh-CN"/>
        </w:rPr>
        <w:t>5</w:t>
      </w:r>
      <w:r>
        <w:rPr>
          <w:rFonts w:hint="eastAsia" w:ascii="宋体" w:hAnsi="宋体"/>
          <w:sz w:val="24"/>
          <w:szCs w:val="24"/>
          <w:highlight w:val="none"/>
          <w:lang w:eastAsia="zh-CN"/>
        </w:rPr>
        <w:t>日内组织安装、调试，达到正常运行要求，保证采购方正常使用。供货方负责产品安装、调试。</w:t>
      </w:r>
    </w:p>
    <w:p>
      <w:pPr>
        <w:spacing w:line="40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val="en-US" w:eastAsia="zh-CN"/>
        </w:rPr>
        <w:t>2.6.2</w:t>
      </w:r>
      <w:r>
        <w:rPr>
          <w:rFonts w:hint="eastAsia" w:ascii="宋体" w:hAnsi="宋体"/>
          <w:sz w:val="24"/>
          <w:szCs w:val="24"/>
          <w:highlight w:val="none"/>
          <w:lang w:eastAsia="zh-CN"/>
        </w:rPr>
        <w:t>产品安装调试完毕后，供货方应就产品的安装、调试、操作、维修、保养等对采购方维修技术人员及操作人员进行培训，直至采购方的技术人员能独立操作，同时能完成一般常见故障的维修工作。所需的费用包括在投标总价格中。</w:t>
      </w:r>
    </w:p>
    <w:p>
      <w:pPr>
        <w:spacing w:line="40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val="en-US" w:eastAsia="zh-CN"/>
        </w:rPr>
        <w:t>2.6.3</w:t>
      </w:r>
      <w:r>
        <w:rPr>
          <w:rFonts w:hint="eastAsia" w:ascii="宋体" w:hAnsi="宋体"/>
          <w:sz w:val="24"/>
          <w:szCs w:val="24"/>
          <w:highlight w:val="none"/>
          <w:lang w:eastAsia="zh-CN"/>
        </w:rPr>
        <w:t>本项目自成交人签订合同之日起至实施完成验收合格日止，成交人将负责实施过程中的人身安全、财产安全、环境安全等一切安全责任。因项目实施过程中造成的直接或间接损失，均由成交人自行承担。</w:t>
      </w:r>
    </w:p>
    <w:p>
      <w:pPr>
        <w:spacing w:line="40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val="en-US" w:eastAsia="zh-CN"/>
        </w:rPr>
        <w:t>2.7</w:t>
      </w:r>
      <w:r>
        <w:rPr>
          <w:rFonts w:hint="eastAsia" w:ascii="宋体" w:hAnsi="宋体"/>
          <w:sz w:val="24"/>
          <w:szCs w:val="24"/>
          <w:highlight w:val="none"/>
          <w:lang w:eastAsia="zh-CN"/>
        </w:rPr>
        <w:t>. 售后服务</w:t>
      </w:r>
    </w:p>
    <w:p>
      <w:pPr>
        <w:spacing w:line="40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val="en-US" w:eastAsia="zh-CN"/>
        </w:rPr>
        <w:t>2.7</w:t>
      </w:r>
      <w:r>
        <w:rPr>
          <w:rFonts w:hint="eastAsia" w:ascii="宋体" w:hAnsi="宋体"/>
          <w:sz w:val="24"/>
          <w:szCs w:val="24"/>
          <w:highlight w:val="none"/>
          <w:lang w:eastAsia="zh-CN"/>
        </w:rPr>
        <w:t>.1技术参数要求另有规定的按技术要求相关规定执行。</w:t>
      </w:r>
    </w:p>
    <w:p>
      <w:pPr>
        <w:spacing w:line="40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val="en-US" w:eastAsia="zh-CN"/>
        </w:rPr>
        <w:t>2.7</w:t>
      </w:r>
      <w:r>
        <w:rPr>
          <w:rFonts w:hint="eastAsia" w:ascii="宋体" w:hAnsi="宋体"/>
          <w:sz w:val="24"/>
          <w:szCs w:val="24"/>
          <w:highlight w:val="none"/>
          <w:lang w:eastAsia="zh-CN"/>
        </w:rPr>
        <w:t>.2质保期内供货方应免费负责产品维修及抢修，且不能以差旅、住宿等理由要求采购方支付其他任何费用。供应商需在响应文件中承诺在质保期内若发现故障，售后人员须</w:t>
      </w:r>
      <w:r>
        <w:rPr>
          <w:rFonts w:hint="eastAsia" w:ascii="宋体" w:hAnsi="宋体"/>
          <w:sz w:val="24"/>
          <w:szCs w:val="24"/>
          <w:highlight w:val="none"/>
          <w:lang w:val="en-US" w:eastAsia="zh-CN"/>
        </w:rPr>
        <w:t>1</w:t>
      </w:r>
      <w:r>
        <w:rPr>
          <w:rFonts w:hint="eastAsia" w:ascii="宋体" w:hAnsi="宋体"/>
          <w:sz w:val="24"/>
          <w:szCs w:val="24"/>
          <w:highlight w:val="none"/>
          <w:lang w:eastAsia="zh-CN"/>
        </w:rPr>
        <w:t>个小时内响应，在</w:t>
      </w:r>
      <w:r>
        <w:rPr>
          <w:rFonts w:hint="eastAsia" w:ascii="宋体" w:hAnsi="宋体"/>
          <w:sz w:val="24"/>
          <w:szCs w:val="24"/>
          <w:highlight w:val="none"/>
          <w:lang w:val="en-US" w:eastAsia="zh-CN"/>
        </w:rPr>
        <w:t>2</w:t>
      </w:r>
      <w:r>
        <w:rPr>
          <w:rFonts w:hint="eastAsia" w:ascii="宋体" w:hAnsi="宋体"/>
          <w:sz w:val="24"/>
          <w:szCs w:val="24"/>
          <w:highlight w:val="none"/>
          <w:lang w:eastAsia="zh-CN"/>
        </w:rPr>
        <w:t>小时内到现场，对产品进行维修或更换，如因特殊原因导致不能现场完成维修或更换的，乙方最迟应于</w:t>
      </w:r>
      <w:r>
        <w:rPr>
          <w:rFonts w:hint="eastAsia" w:ascii="宋体" w:hAnsi="宋体"/>
          <w:sz w:val="24"/>
          <w:szCs w:val="24"/>
          <w:highlight w:val="none"/>
          <w:lang w:val="en-US" w:eastAsia="zh-CN"/>
        </w:rPr>
        <w:t>1</w:t>
      </w:r>
      <w:r>
        <w:rPr>
          <w:rFonts w:hint="eastAsia" w:ascii="宋体" w:hAnsi="宋体"/>
          <w:sz w:val="24"/>
          <w:szCs w:val="24"/>
          <w:highlight w:val="none"/>
          <w:lang w:eastAsia="zh-CN"/>
        </w:rPr>
        <w:t>个工作日内完成维修或更换。如乙方未在前述期限内到场或未在前述期限内完成维修或更换的，甲方有权另行委托任何第三方进行维修或更换，由此产生的费用均由乙方承担。如货物经3次维修仍不能达到本合同约定的质量标准，则采购人有权要求成交人免费更换新机或退货，并有权要求乙方支付应退换的采购产品同等金额的违约金。</w:t>
      </w:r>
    </w:p>
    <w:p>
      <w:pPr>
        <w:spacing w:line="40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val="en-US" w:eastAsia="zh-CN"/>
        </w:rPr>
        <w:t>2.7.3</w:t>
      </w:r>
      <w:r>
        <w:rPr>
          <w:rFonts w:hint="eastAsia" w:ascii="宋体" w:hAnsi="宋体"/>
          <w:sz w:val="24"/>
          <w:szCs w:val="24"/>
          <w:highlight w:val="none"/>
          <w:lang w:eastAsia="zh-CN"/>
        </w:rPr>
        <w:t>质保期满后，若产品出现故障且采购人委托成交人维修的，</w:t>
      </w:r>
      <w:r>
        <w:rPr>
          <w:rFonts w:hint="eastAsia" w:ascii="宋体" w:hAnsi="宋体"/>
          <w:sz w:val="24"/>
          <w:szCs w:val="24"/>
          <w:highlight w:val="none"/>
          <w:lang w:val="en-US" w:eastAsia="zh-CN"/>
        </w:rPr>
        <w:t>中标</w:t>
      </w:r>
      <w:r>
        <w:rPr>
          <w:rFonts w:hint="eastAsia" w:ascii="宋体" w:hAnsi="宋体"/>
          <w:sz w:val="24"/>
          <w:szCs w:val="24"/>
          <w:highlight w:val="none"/>
          <w:lang w:eastAsia="zh-CN"/>
        </w:rPr>
        <w:t>人将无条件负责维修好产品且只收取更换零配件费用。</w:t>
      </w:r>
    </w:p>
    <w:p>
      <w:pPr>
        <w:spacing w:line="400" w:lineRule="exact"/>
        <w:ind w:firstLine="480" w:firstLineChars="200"/>
        <w:rPr>
          <w:rFonts w:hint="eastAsia" w:ascii="宋体" w:hAnsi="宋体"/>
          <w:sz w:val="24"/>
          <w:szCs w:val="24"/>
          <w:highlight w:val="none"/>
          <w:lang w:eastAsia="zh-CN"/>
        </w:rPr>
      </w:pPr>
      <w:r>
        <w:rPr>
          <w:rFonts w:hint="eastAsia" w:ascii="宋体" w:hAnsi="宋体"/>
          <w:sz w:val="24"/>
          <w:szCs w:val="24"/>
          <w:highlight w:val="none"/>
          <w:lang w:val="en-US" w:eastAsia="zh-CN"/>
        </w:rPr>
        <w:t>2.7</w:t>
      </w:r>
      <w:r>
        <w:rPr>
          <w:rFonts w:hint="eastAsia" w:ascii="宋体" w:hAnsi="宋体"/>
          <w:sz w:val="24"/>
          <w:szCs w:val="24"/>
          <w:highlight w:val="none"/>
          <w:lang w:eastAsia="zh-CN"/>
        </w:rPr>
        <w:t>.4如有涉及到软件需要升级的产品，供货方需免费提供升级服务。（费用包含在投标总价）</w:t>
      </w:r>
    </w:p>
    <w:p>
      <w:pPr>
        <w:pStyle w:val="33"/>
        <w:widowControl/>
        <w:adjustRightInd w:val="0"/>
        <w:snapToGrid w:val="0"/>
        <w:spacing w:line="360" w:lineRule="auto"/>
        <w:ind w:firstLine="482"/>
        <w:jc w:val="left"/>
        <w:rPr>
          <w:rFonts w:ascii="宋体" w:hAnsi="宋体" w:eastAsia="宋体" w:cs="宋体"/>
          <w:b/>
          <w:bCs/>
          <w:kern w:val="0"/>
          <w:sz w:val="24"/>
        </w:rPr>
      </w:pPr>
      <w:r>
        <w:rPr>
          <w:rFonts w:hint="eastAsia" w:ascii="宋体" w:hAnsi="宋体" w:eastAsia="宋体" w:cs="宋体"/>
          <w:b/>
          <w:bCs/>
          <w:kern w:val="0"/>
          <w:sz w:val="24"/>
        </w:rPr>
        <w:t>3. 竞争谈判申请人资格要求</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3.1 资质要求</w:t>
      </w:r>
    </w:p>
    <w:p>
      <w:pPr>
        <w:widowControl/>
        <w:spacing w:line="48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）具备《中华人民共和国政府采购法》第二十二条规定的条件。</w:t>
      </w:r>
    </w:p>
    <w:p>
      <w:pPr>
        <w:widowControl/>
        <w:spacing w:line="48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1.具有独立承担民事责任的能力；</w:t>
      </w:r>
    </w:p>
    <w:p>
      <w:pPr>
        <w:widowControl/>
        <w:spacing w:line="48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2.具有良好的商业信誉和健全的财务会计制度；</w:t>
      </w:r>
    </w:p>
    <w:p>
      <w:pPr>
        <w:widowControl/>
        <w:spacing w:line="48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3.具有履行合同所必须的设备和专业技术能力；</w:t>
      </w:r>
    </w:p>
    <w:p>
      <w:pPr>
        <w:widowControl/>
        <w:spacing w:line="48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4.具有依法缴纳税收和社会保障资金的良好记录；</w:t>
      </w:r>
    </w:p>
    <w:p>
      <w:pPr>
        <w:widowControl/>
        <w:spacing w:line="48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5.参加本次政府采购活动前三年内，在经营活动中没有重大违法记录；</w:t>
      </w:r>
    </w:p>
    <w:p>
      <w:pPr>
        <w:widowControl/>
        <w:spacing w:line="48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6.法律、行政法规规定的其他条件；</w:t>
      </w:r>
    </w:p>
    <w:p>
      <w:pPr>
        <w:widowControl/>
        <w:numPr>
          <w:ilvl w:val="0"/>
          <w:numId w:val="2"/>
        </w:numPr>
        <w:spacing w:line="48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具有独立承担民事责任的能力（提供复印件并盖单位章）；</w:t>
      </w:r>
    </w:p>
    <w:p>
      <w:pPr>
        <w:widowControl/>
        <w:numPr>
          <w:ilvl w:val="0"/>
          <w:numId w:val="0"/>
        </w:numPr>
        <w:spacing w:line="480" w:lineRule="exact"/>
        <w:ind w:firstLine="720" w:firstLineChars="3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供应商若为企业法人：提供“统一社会信用代码营业执照”；未换证的提供“营业执照、税务登记证、组织机构代码证或三证合一的营业执照”；②若为事业法人：提供“统一社会信用代码法人登记证书”；未换证的提交“事业法人登记证书、组织机构代码证”；③若为其他组织：提供“对应主管部门颁发的准许执业证明文件或营业执照”；④若为自然人：提供“身份证明材料”。</w:t>
      </w:r>
    </w:p>
    <w:p>
      <w:pPr>
        <w:pStyle w:val="12"/>
        <w:numPr>
          <w:ilvl w:val="0"/>
          <w:numId w:val="0"/>
        </w:numPr>
        <w:ind w:leftChars="200"/>
        <w:rPr>
          <w:rFonts w:hint="eastAsia"/>
        </w:rPr>
      </w:pPr>
      <w:r>
        <w:rPr>
          <w:rFonts w:hint="eastAsia"/>
          <w:lang w:eastAsia="zh-CN"/>
        </w:rPr>
        <w:t>（</w:t>
      </w:r>
      <w:r>
        <w:rPr>
          <w:rFonts w:hint="eastAsia"/>
          <w:lang w:val="en-US" w:eastAsia="zh-CN"/>
        </w:rPr>
        <w:t>3</w:t>
      </w:r>
      <w:r>
        <w:rPr>
          <w:rFonts w:hint="eastAsia"/>
          <w:lang w:eastAsia="zh-CN"/>
        </w:rPr>
        <w:t>）</w:t>
      </w:r>
      <w:r>
        <w:rPr>
          <w:rFonts w:hint="eastAsia"/>
        </w:rPr>
        <w:t>具备健全的财务会计制度的证明材料</w:t>
      </w:r>
    </w:p>
    <w:p>
      <w:pPr>
        <w:pStyle w:val="12"/>
        <w:numPr>
          <w:ilvl w:val="0"/>
          <w:numId w:val="0"/>
        </w:numPr>
        <w:ind w:leftChars="200"/>
        <w:rPr>
          <w:rFonts w:hint="eastAsia"/>
          <w:highlight w:val="none"/>
        </w:rPr>
      </w:pPr>
      <w:r>
        <w:rPr>
          <w:rFonts w:hint="eastAsia"/>
          <w:highlight w:val="none"/>
        </w:rPr>
        <w:t>①提供2019或2020年度经审计的财务报告（包含审计报告和审计报告中所涉及的财务报表和报表附注），②</w:t>
      </w:r>
      <w:r>
        <w:rPr>
          <w:rFonts w:hint="eastAsia"/>
          <w:highlight w:val="none"/>
          <w:lang w:val="en-US" w:eastAsia="zh-CN"/>
        </w:rPr>
        <w:t>或</w:t>
      </w:r>
      <w:r>
        <w:rPr>
          <w:rFonts w:hint="eastAsia"/>
          <w:highlight w:val="none"/>
        </w:rPr>
        <w:t>提供2019或2020年度供应商完整的全套财务报表，③</w:t>
      </w:r>
      <w:r>
        <w:rPr>
          <w:rFonts w:hint="eastAsia"/>
          <w:highlight w:val="none"/>
          <w:lang w:val="en-US" w:eastAsia="zh-CN"/>
        </w:rPr>
        <w:t>或</w:t>
      </w:r>
      <w:r>
        <w:rPr>
          <w:rFonts w:hint="eastAsia"/>
          <w:highlight w:val="none"/>
        </w:rPr>
        <w:t>提供截至响应文件递交截止日一年内银行出具的资信证明，④</w:t>
      </w:r>
      <w:r>
        <w:rPr>
          <w:rFonts w:hint="eastAsia"/>
          <w:highlight w:val="none"/>
          <w:lang w:val="en-US" w:eastAsia="zh-CN"/>
        </w:rPr>
        <w:t>或</w:t>
      </w:r>
      <w:r>
        <w:rPr>
          <w:rFonts w:hint="eastAsia"/>
          <w:highlight w:val="none"/>
        </w:rPr>
        <w:t>供应商注册时间截至响应文件递交截止日不足一年的，也可提供在工商备案的公司章程。</w:t>
      </w:r>
    </w:p>
    <w:p>
      <w:pPr>
        <w:spacing w:line="480" w:lineRule="exact"/>
        <w:ind w:left="279" w:leftChars="133" w:firstLine="240" w:firstLineChars="1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）业绩要求：在</w:t>
      </w:r>
      <w:r>
        <w:rPr>
          <w:rFonts w:ascii="宋体" w:hAnsi="宋体" w:eastAsia="宋体" w:cs="宋体"/>
          <w:color w:val="auto"/>
          <w:sz w:val="24"/>
          <w:szCs w:val="24"/>
          <w:highlight w:val="none"/>
        </w:rPr>
        <w:t>20</w:t>
      </w:r>
      <w:r>
        <w:rPr>
          <w:rFonts w:hint="eastAsia" w:ascii="宋体" w:hAnsi="宋体" w:eastAsia="宋体" w:cs="宋体"/>
          <w:color w:val="auto"/>
          <w:sz w:val="24"/>
          <w:szCs w:val="24"/>
          <w:highlight w:val="none"/>
          <w:lang w:val="en-US" w:eastAsia="zh-CN"/>
        </w:rPr>
        <w:t>19</w:t>
      </w:r>
      <w:r>
        <w:rPr>
          <w:rFonts w:hint="eastAsia" w:ascii="宋体" w:hAnsi="宋体" w:eastAsia="宋体" w:cs="宋体"/>
          <w:color w:val="auto"/>
          <w:sz w:val="24"/>
          <w:szCs w:val="24"/>
          <w:highlight w:val="none"/>
        </w:rPr>
        <w:t>年</w:t>
      </w:r>
      <w:r>
        <w:rPr>
          <w:rFonts w:ascii="宋体" w:hAnsi="宋体" w:eastAsia="宋体" w:cs="宋体"/>
          <w:color w:val="auto"/>
          <w:sz w:val="24"/>
          <w:szCs w:val="24"/>
          <w:highlight w:val="none"/>
        </w:rPr>
        <w:t>1</w:t>
      </w:r>
      <w:r>
        <w:rPr>
          <w:rFonts w:hint="eastAsia" w:ascii="宋体" w:hAnsi="宋体" w:eastAsia="宋体" w:cs="宋体"/>
          <w:color w:val="auto"/>
          <w:sz w:val="24"/>
          <w:szCs w:val="24"/>
          <w:highlight w:val="none"/>
        </w:rPr>
        <w:t>月</w:t>
      </w:r>
      <w:r>
        <w:rPr>
          <w:rFonts w:ascii="宋体" w:hAnsi="宋体" w:eastAsia="宋体" w:cs="宋体"/>
          <w:color w:val="auto"/>
          <w:sz w:val="24"/>
          <w:szCs w:val="24"/>
          <w:highlight w:val="none"/>
        </w:rPr>
        <w:t>1</w:t>
      </w:r>
      <w:r>
        <w:rPr>
          <w:rFonts w:hint="eastAsia" w:ascii="宋体" w:hAnsi="宋体" w:eastAsia="宋体" w:cs="宋体"/>
          <w:color w:val="auto"/>
          <w:sz w:val="24"/>
          <w:szCs w:val="24"/>
          <w:highlight w:val="none"/>
        </w:rPr>
        <w:t>日至响应截止日内，至少具有</w:t>
      </w:r>
      <w:r>
        <w:rPr>
          <w:rFonts w:hint="default" w:ascii="宋体" w:hAnsi="宋体" w:eastAsia="宋体" w:cs="宋体"/>
          <w:color w:val="auto"/>
          <w:sz w:val="24"/>
          <w:szCs w:val="24"/>
          <w:highlight w:val="none"/>
        </w:rPr>
        <w:t>1</w:t>
      </w:r>
      <w:r>
        <w:rPr>
          <w:rFonts w:hint="eastAsia" w:ascii="宋体" w:hAnsi="宋体" w:eastAsia="宋体" w:cs="宋体"/>
          <w:color w:val="auto"/>
          <w:sz w:val="24"/>
          <w:szCs w:val="24"/>
          <w:highlight w:val="none"/>
        </w:rPr>
        <w:t>个类似</w:t>
      </w:r>
      <w:r>
        <w:rPr>
          <w:rFonts w:hint="eastAsia" w:ascii="宋体" w:hAnsi="宋体" w:eastAsia="宋体" w:cs="宋体"/>
          <w:color w:val="auto"/>
          <w:sz w:val="24"/>
          <w:szCs w:val="24"/>
          <w:highlight w:val="none"/>
          <w:lang w:val="en-US" w:eastAsia="zh-CN"/>
        </w:rPr>
        <w:t>音响设备或会议设备</w:t>
      </w:r>
      <w:r>
        <w:rPr>
          <w:rFonts w:hint="eastAsia" w:ascii="宋体" w:hAnsi="宋体" w:eastAsia="宋体" w:cs="宋体"/>
          <w:color w:val="auto"/>
          <w:sz w:val="24"/>
          <w:szCs w:val="24"/>
          <w:highlight w:val="none"/>
        </w:rPr>
        <w:t xml:space="preserve">项目业绩； </w:t>
      </w:r>
    </w:p>
    <w:p>
      <w:pPr>
        <w:spacing w:line="480" w:lineRule="exact"/>
        <w:ind w:left="279" w:leftChars="133" w:firstLine="240" w:firstLineChars="1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）具有履行合同所必须的设备和专业技术能力，能独立承担与采购项目相应的法律及经济责任。</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提供承诺函</w:t>
      </w:r>
      <w:r>
        <w:rPr>
          <w:rFonts w:hint="eastAsia" w:ascii="宋体" w:hAnsi="宋体" w:eastAsia="宋体" w:cs="宋体"/>
          <w:color w:val="auto"/>
          <w:sz w:val="24"/>
          <w:szCs w:val="24"/>
          <w:highlight w:val="none"/>
          <w:lang w:val="en-US" w:eastAsia="zh-CN"/>
        </w:rPr>
        <w:t>格式自拟</w:t>
      </w:r>
      <w:r>
        <w:rPr>
          <w:rFonts w:hint="eastAsia" w:ascii="宋体" w:hAnsi="宋体" w:eastAsia="宋体" w:cs="宋体"/>
          <w:color w:val="auto"/>
          <w:sz w:val="24"/>
          <w:szCs w:val="24"/>
          <w:highlight w:val="none"/>
          <w:lang w:eastAsia="zh-CN"/>
        </w:rPr>
        <w:t>）</w:t>
      </w:r>
    </w:p>
    <w:p>
      <w:pPr>
        <w:widowControl/>
        <w:spacing w:line="480" w:lineRule="exact"/>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3.2 信誉要求</w:t>
      </w:r>
    </w:p>
    <w:p>
      <w:pPr>
        <w:widowControl/>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参加本次竞争谈判活动前3年内，在经营活动中没有重大违法记录。（采用承诺制，格式详见“第五章竞争谈判申请文件格式”）</w:t>
      </w: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4. 本次竞争谈判不接受联合体参选。</w:t>
      </w:r>
    </w:p>
    <w:p>
      <w:pPr>
        <w:widowControl/>
        <w:adjustRightInd w:val="0"/>
        <w:snapToGrid w:val="0"/>
        <w:spacing w:line="360" w:lineRule="auto"/>
        <w:ind w:firstLine="482" w:firstLineChars="200"/>
        <w:jc w:val="left"/>
        <w:rPr>
          <w:rFonts w:ascii="宋体" w:hAnsi="宋体" w:eastAsia="宋体" w:cs="宋体"/>
          <w:b/>
          <w:bCs/>
          <w:kern w:val="0"/>
          <w:sz w:val="24"/>
        </w:rPr>
      </w:pPr>
      <w:r>
        <w:rPr>
          <w:rFonts w:hint="eastAsia" w:ascii="宋体" w:hAnsi="宋体" w:eastAsia="宋体" w:cs="宋体"/>
          <w:b/>
          <w:bCs/>
          <w:kern w:val="0"/>
          <w:sz w:val="24"/>
        </w:rPr>
        <w:t>5. 竞争谈判文件的获取</w:t>
      </w:r>
    </w:p>
    <w:p>
      <w:pPr>
        <w:widowControl/>
        <w:adjustRightInd w:val="0"/>
        <w:snapToGrid w:val="0"/>
        <w:spacing w:line="360" w:lineRule="auto"/>
        <w:ind w:firstLine="480" w:firstLineChars="200"/>
        <w:jc w:val="left"/>
        <w:rPr>
          <w:rFonts w:ascii="宋体" w:hAnsi="宋体" w:eastAsia="宋体" w:cs="宋体"/>
          <w:kern w:val="0"/>
          <w:sz w:val="24"/>
        </w:rPr>
      </w:pPr>
      <w:r>
        <w:rPr>
          <w:rFonts w:ascii="宋体" w:hAnsi="宋体" w:eastAsia="宋体" w:cs="宋体"/>
          <w:kern w:val="0"/>
          <w:sz w:val="24"/>
        </w:rPr>
        <w:t>5.1</w:t>
      </w:r>
      <w:r>
        <w:rPr>
          <w:rFonts w:hint="eastAsia" w:ascii="宋体" w:hAnsi="宋体" w:eastAsia="宋体" w:cs="宋体"/>
          <w:kern w:val="0"/>
          <w:sz w:val="24"/>
        </w:rPr>
        <w:t>凡有意参加</w:t>
      </w:r>
      <w:r>
        <w:rPr>
          <w:rFonts w:hint="eastAsia" w:ascii="宋体" w:hAnsi="宋体" w:eastAsia="宋体" w:cs="宋体"/>
          <w:kern w:val="0"/>
          <w:sz w:val="24"/>
          <w:lang w:val="en-US" w:eastAsia="zh-CN"/>
        </w:rPr>
        <w:t>谈判</w:t>
      </w:r>
      <w:r>
        <w:rPr>
          <w:rFonts w:hint="eastAsia" w:ascii="宋体" w:hAnsi="宋体" w:eastAsia="宋体" w:cs="宋体"/>
          <w:kern w:val="0"/>
          <w:sz w:val="24"/>
        </w:rPr>
        <w:t>者，请</w:t>
      </w:r>
      <w:r>
        <w:rPr>
          <w:rFonts w:hint="eastAsia" w:ascii="宋体" w:hAnsi="宋体" w:eastAsia="宋体" w:cs="宋体"/>
          <w:kern w:val="0"/>
          <w:sz w:val="24"/>
          <w:highlight w:val="none"/>
        </w:rPr>
        <w:t>于</w:t>
      </w:r>
      <w:r>
        <w:rPr>
          <w:rFonts w:hint="eastAsia" w:ascii="宋体" w:hAnsi="宋体" w:eastAsia="宋体" w:cs="宋体"/>
          <w:kern w:val="0"/>
          <w:sz w:val="24"/>
          <w:highlight w:val="none"/>
          <w:u w:val="single"/>
        </w:rPr>
        <w:t>202</w:t>
      </w:r>
      <w:r>
        <w:rPr>
          <w:rFonts w:ascii="宋体" w:hAnsi="宋体" w:eastAsia="宋体" w:cs="宋体"/>
          <w:kern w:val="0"/>
          <w:sz w:val="24"/>
          <w:highlight w:val="none"/>
          <w:u w:val="single"/>
        </w:rPr>
        <w:t>2</w:t>
      </w:r>
      <w:r>
        <w:rPr>
          <w:rFonts w:hint="eastAsia" w:ascii="宋体" w:hAnsi="宋体" w:eastAsia="宋体" w:cs="宋体"/>
          <w:kern w:val="0"/>
          <w:sz w:val="24"/>
          <w:highlight w:val="none"/>
          <w:u w:val="single"/>
        </w:rPr>
        <w:t>年</w:t>
      </w:r>
      <w:r>
        <w:rPr>
          <w:rFonts w:ascii="宋体" w:hAnsi="宋体" w:eastAsia="宋体" w:cs="宋体"/>
          <w:kern w:val="0"/>
          <w:sz w:val="24"/>
          <w:highlight w:val="none"/>
          <w:u w:val="single"/>
        </w:rPr>
        <w:t xml:space="preserve"> </w:t>
      </w:r>
      <w:r>
        <w:rPr>
          <w:rFonts w:hint="eastAsia" w:ascii="宋体" w:hAnsi="宋体" w:eastAsia="宋体" w:cs="宋体"/>
          <w:kern w:val="0"/>
          <w:sz w:val="24"/>
          <w:highlight w:val="none"/>
          <w:u w:val="single"/>
          <w:lang w:val="en-US" w:eastAsia="zh-CN"/>
        </w:rPr>
        <w:t>11</w:t>
      </w:r>
      <w:r>
        <w:rPr>
          <w:rFonts w:hint="eastAsia" w:ascii="宋体" w:hAnsi="宋体" w:eastAsia="宋体" w:cs="宋体"/>
          <w:kern w:val="0"/>
          <w:sz w:val="24"/>
          <w:highlight w:val="none"/>
          <w:u w:val="single"/>
        </w:rPr>
        <w:t>月</w:t>
      </w:r>
      <w:r>
        <w:rPr>
          <w:rFonts w:ascii="宋体" w:hAnsi="宋体" w:eastAsia="宋体" w:cs="宋体"/>
          <w:kern w:val="0"/>
          <w:sz w:val="24"/>
          <w:highlight w:val="none"/>
          <w:u w:val="single"/>
        </w:rPr>
        <w:t xml:space="preserve"> </w:t>
      </w:r>
      <w:r>
        <w:rPr>
          <w:rFonts w:hint="eastAsia" w:ascii="宋体" w:hAnsi="宋体" w:eastAsia="宋体" w:cs="宋体"/>
          <w:kern w:val="0"/>
          <w:sz w:val="24"/>
          <w:highlight w:val="none"/>
          <w:u w:val="single"/>
          <w:lang w:val="en-US" w:eastAsia="zh-CN"/>
        </w:rPr>
        <w:t xml:space="preserve">4 </w:t>
      </w:r>
      <w:r>
        <w:rPr>
          <w:rFonts w:hint="eastAsia" w:ascii="宋体" w:hAnsi="宋体" w:eastAsia="宋体" w:cs="宋体"/>
          <w:kern w:val="0"/>
          <w:sz w:val="24"/>
          <w:highlight w:val="none"/>
        </w:rPr>
        <w:t>日起在四</w:t>
      </w:r>
      <w:r>
        <w:rPr>
          <w:rFonts w:hint="eastAsia" w:ascii="宋体" w:hAnsi="宋体" w:eastAsia="宋体" w:cs="宋体"/>
          <w:kern w:val="0"/>
          <w:sz w:val="24"/>
        </w:rPr>
        <w:t>川蜀道新制式轨道集团有限</w:t>
      </w:r>
      <w:r>
        <w:rPr>
          <w:rFonts w:hint="eastAsia" w:ascii="宋体" w:hAnsi="宋体" w:eastAsia="宋体" w:cs="宋体"/>
          <w:kern w:val="0"/>
          <w:sz w:val="24"/>
          <w:lang w:val="en-US" w:eastAsia="zh-CN"/>
        </w:rPr>
        <w:t>责任</w:t>
      </w:r>
      <w:r>
        <w:rPr>
          <w:rFonts w:hint="eastAsia" w:ascii="宋体" w:hAnsi="宋体" w:eastAsia="宋体" w:cs="宋体"/>
          <w:kern w:val="0"/>
          <w:sz w:val="24"/>
        </w:rPr>
        <w:t>公司官网（网址</w:t>
      </w:r>
      <w:r>
        <w:rPr>
          <w:rFonts w:hint="eastAsia" w:ascii="宋体" w:hAnsi="宋体" w:eastAsia="宋体" w:cs="宋体"/>
          <w:kern w:val="0"/>
          <w:sz w:val="24"/>
          <w:lang w:eastAsia="zh-CN"/>
        </w:rPr>
        <w:t>：</w:t>
      </w:r>
      <w:r>
        <w:rPr>
          <w:rFonts w:ascii="宋体" w:hAnsi="宋体" w:eastAsia="宋体" w:cs="宋体"/>
          <w:kern w:val="0"/>
          <w:sz w:val="24"/>
        </w:rPr>
        <w:t>https://www</w:t>
      </w:r>
      <w:r>
        <w:rPr>
          <w:rFonts w:ascii="宋体" w:hAnsi="宋体" w:eastAsia="宋体" w:cs="宋体"/>
          <w:color w:val="auto"/>
          <w:kern w:val="0"/>
          <w:sz w:val="24"/>
        </w:rPr>
        <w:t>.</w:t>
      </w:r>
      <w:r>
        <w:rPr>
          <w:rStyle w:val="27"/>
          <w:rFonts w:ascii="宋体" w:hAnsi="宋体" w:eastAsia="宋体" w:cs="宋体"/>
          <w:color w:val="auto"/>
          <w:sz w:val="24"/>
          <w:szCs w:val="24"/>
        </w:rPr>
        <w:t>shudaogdjt.</w:t>
      </w:r>
      <w:r>
        <w:rPr>
          <w:rFonts w:ascii="宋体" w:hAnsi="宋体" w:eastAsia="宋体" w:cs="宋体"/>
          <w:color w:val="auto"/>
          <w:kern w:val="0"/>
          <w:sz w:val="24"/>
        </w:rPr>
        <w:t>c</w:t>
      </w:r>
      <w:r>
        <w:rPr>
          <w:rFonts w:ascii="宋体" w:hAnsi="宋体" w:eastAsia="宋体" w:cs="宋体"/>
          <w:kern w:val="0"/>
          <w:sz w:val="24"/>
        </w:rPr>
        <w:t>om/</w:t>
      </w:r>
      <w:r>
        <w:rPr>
          <w:rFonts w:hint="eastAsia" w:ascii="宋体" w:hAnsi="宋体" w:eastAsia="宋体" w:cs="宋体"/>
          <w:kern w:val="0"/>
          <w:sz w:val="24"/>
        </w:rPr>
        <w:t>）免费获取</w:t>
      </w:r>
      <w:r>
        <w:rPr>
          <w:rFonts w:hint="eastAsia" w:ascii="宋体" w:hAnsi="宋体" w:eastAsia="宋体" w:cs="宋体"/>
          <w:kern w:val="0"/>
          <w:sz w:val="24"/>
          <w:lang w:val="en-US" w:eastAsia="zh-CN"/>
        </w:rPr>
        <w:t>竞争谈判</w:t>
      </w:r>
      <w:r>
        <w:rPr>
          <w:rFonts w:hint="eastAsia" w:ascii="宋体" w:hAnsi="宋体" w:eastAsia="宋体" w:cs="宋体"/>
          <w:kern w:val="0"/>
          <w:sz w:val="24"/>
        </w:rPr>
        <w:t>文件。</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5.2</w:t>
      </w:r>
      <w:r>
        <w:rPr>
          <w:rFonts w:hint="eastAsia" w:ascii="宋体" w:hAnsi="宋体" w:eastAsia="宋体" w:cs="宋体"/>
          <w:kern w:val="0"/>
          <w:sz w:val="24"/>
          <w:lang w:val="en-US" w:eastAsia="zh-CN"/>
        </w:rPr>
        <w:t>采购</w:t>
      </w:r>
      <w:r>
        <w:rPr>
          <w:rFonts w:hint="eastAsia" w:ascii="宋体" w:hAnsi="宋体" w:eastAsia="宋体" w:cs="宋体"/>
          <w:kern w:val="0"/>
          <w:sz w:val="24"/>
        </w:rPr>
        <w:t>人不提供其他方式获取</w:t>
      </w:r>
      <w:r>
        <w:rPr>
          <w:rFonts w:hint="eastAsia" w:ascii="宋体" w:hAnsi="宋体" w:eastAsia="宋体" w:cs="宋体"/>
          <w:kern w:val="0"/>
          <w:sz w:val="24"/>
          <w:lang w:val="en-US" w:eastAsia="zh-CN"/>
        </w:rPr>
        <w:t>竞争谈判</w:t>
      </w:r>
      <w:r>
        <w:rPr>
          <w:rFonts w:hint="eastAsia" w:ascii="宋体" w:hAnsi="宋体" w:eastAsia="宋体" w:cs="宋体"/>
          <w:kern w:val="0"/>
          <w:sz w:val="24"/>
        </w:rPr>
        <w:t>文件。</w:t>
      </w:r>
    </w:p>
    <w:p>
      <w:pPr>
        <w:widowControl/>
        <w:adjustRightInd w:val="0"/>
        <w:snapToGrid w:val="0"/>
        <w:spacing w:line="360" w:lineRule="auto"/>
        <w:ind w:firstLine="482" w:firstLineChars="200"/>
        <w:jc w:val="left"/>
        <w:rPr>
          <w:rFonts w:ascii="宋体" w:hAnsi="宋体" w:eastAsia="宋体" w:cs="宋体"/>
          <w:b/>
          <w:bCs/>
          <w:kern w:val="0"/>
          <w:sz w:val="24"/>
        </w:rPr>
      </w:pPr>
      <w:r>
        <w:rPr>
          <w:rFonts w:hint="eastAsia" w:ascii="宋体" w:hAnsi="宋体" w:eastAsia="宋体" w:cs="宋体"/>
          <w:b/>
          <w:bCs/>
          <w:kern w:val="0"/>
          <w:sz w:val="24"/>
        </w:rPr>
        <w:t>6. 申请文件的递交</w:t>
      </w:r>
    </w:p>
    <w:p>
      <w:pPr>
        <w:widowControl/>
        <w:adjustRightInd w:val="0"/>
        <w:snapToGrid w:val="0"/>
        <w:spacing w:line="360" w:lineRule="auto"/>
        <w:ind w:firstLine="480" w:firstLineChars="200"/>
        <w:jc w:val="left"/>
        <w:rPr>
          <w:rFonts w:ascii="宋体" w:hAnsi="宋体" w:eastAsia="宋体" w:cs="宋体"/>
          <w:kern w:val="0"/>
          <w:sz w:val="24"/>
          <w:highlight w:val="none"/>
          <w:u w:val="single"/>
        </w:rPr>
      </w:pPr>
      <w:r>
        <w:rPr>
          <w:rFonts w:hint="eastAsia" w:ascii="宋体" w:hAnsi="宋体" w:eastAsia="宋体" w:cs="宋体"/>
          <w:kern w:val="0"/>
          <w:sz w:val="24"/>
        </w:rPr>
        <w:t>6.1 递交截止时间：20</w:t>
      </w:r>
      <w:r>
        <w:rPr>
          <w:rFonts w:ascii="宋体" w:hAnsi="宋体" w:eastAsia="宋体" w:cs="宋体"/>
          <w:kern w:val="0"/>
          <w:sz w:val="24"/>
        </w:rPr>
        <w:t>22</w:t>
      </w:r>
      <w:r>
        <w:rPr>
          <w:rFonts w:hint="eastAsia" w:ascii="宋体" w:hAnsi="宋体" w:eastAsia="宋体" w:cs="宋体"/>
          <w:sz w:val="24"/>
          <w:highlight w:val="none"/>
        </w:rPr>
        <w:t>年</w:t>
      </w:r>
      <w:r>
        <w:rPr>
          <w:rFonts w:hint="eastAsia" w:ascii="宋体" w:hAnsi="宋体" w:eastAsia="宋体" w:cs="宋体"/>
          <w:sz w:val="24"/>
          <w:highlight w:val="none"/>
          <w:u w:val="single"/>
        </w:rPr>
        <w:t xml:space="preserve"> </w:t>
      </w:r>
      <w:r>
        <w:rPr>
          <w:rFonts w:hint="eastAsia" w:ascii="宋体" w:hAnsi="宋体" w:eastAsia="宋体" w:cs="宋体"/>
          <w:sz w:val="24"/>
          <w:highlight w:val="none"/>
          <w:u w:val="single"/>
          <w:lang w:val="en-US" w:eastAsia="zh-CN"/>
        </w:rPr>
        <w:t>11</w:t>
      </w:r>
      <w:r>
        <w:rPr>
          <w:rFonts w:hint="eastAsia" w:ascii="宋体" w:hAnsi="宋体" w:eastAsia="宋体" w:cs="宋体"/>
          <w:sz w:val="24"/>
          <w:highlight w:val="none"/>
          <w:u w:val="single"/>
        </w:rPr>
        <w:t xml:space="preserve">  月 </w:t>
      </w:r>
      <w:r>
        <w:rPr>
          <w:rFonts w:hint="eastAsia" w:ascii="宋体" w:hAnsi="宋体" w:eastAsia="宋体" w:cs="宋体"/>
          <w:sz w:val="24"/>
          <w:highlight w:val="none"/>
          <w:u w:val="single"/>
          <w:lang w:val="en-US" w:eastAsia="zh-CN"/>
        </w:rPr>
        <w:t>9</w:t>
      </w:r>
      <w:r>
        <w:rPr>
          <w:rFonts w:hint="eastAsia" w:ascii="宋体" w:hAnsi="宋体" w:eastAsia="宋体" w:cs="宋体"/>
          <w:sz w:val="24"/>
          <w:highlight w:val="none"/>
          <w:u w:val="single"/>
        </w:rPr>
        <w:t xml:space="preserve"> 日</w:t>
      </w:r>
      <w:r>
        <w:rPr>
          <w:rFonts w:ascii="宋体" w:hAnsi="宋体" w:eastAsia="宋体" w:cs="宋体"/>
          <w:sz w:val="24"/>
          <w:highlight w:val="none"/>
          <w:u w:val="single"/>
        </w:rPr>
        <w:t>10</w:t>
      </w:r>
      <w:r>
        <w:rPr>
          <w:rFonts w:hint="eastAsia" w:ascii="宋体" w:hAnsi="宋体" w:eastAsia="宋体" w:cs="宋体"/>
          <w:kern w:val="0"/>
          <w:sz w:val="24"/>
          <w:highlight w:val="none"/>
          <w:u w:val="single"/>
        </w:rPr>
        <w:t>时</w:t>
      </w:r>
      <w:r>
        <w:rPr>
          <w:rFonts w:ascii="宋体" w:hAnsi="宋体" w:eastAsia="宋体" w:cs="宋体"/>
          <w:sz w:val="24"/>
          <w:highlight w:val="none"/>
          <w:u w:val="single"/>
        </w:rPr>
        <w:t>00</w:t>
      </w:r>
      <w:r>
        <w:rPr>
          <w:rFonts w:hint="eastAsia" w:ascii="宋体" w:hAnsi="宋体" w:eastAsia="宋体" w:cs="宋体"/>
          <w:kern w:val="0"/>
          <w:sz w:val="24"/>
          <w:highlight w:val="none"/>
          <w:u w:val="single"/>
        </w:rPr>
        <w:t>分。</w:t>
      </w:r>
    </w:p>
    <w:p>
      <w:pPr>
        <w:widowControl/>
        <w:adjustRightInd w:val="0"/>
        <w:snapToGrid w:val="0"/>
        <w:spacing w:line="360" w:lineRule="auto"/>
        <w:ind w:firstLine="480" w:firstLineChars="200"/>
        <w:jc w:val="left"/>
        <w:rPr>
          <w:rFonts w:ascii="宋体" w:hAnsi="宋体" w:eastAsia="宋体" w:cs="宋体"/>
          <w:kern w:val="0"/>
          <w:sz w:val="24"/>
          <w:highlight w:val="none"/>
        </w:rPr>
      </w:pPr>
      <w:r>
        <w:rPr>
          <w:rFonts w:hint="eastAsia" w:ascii="宋体" w:hAnsi="宋体" w:eastAsia="宋体" w:cs="宋体"/>
          <w:kern w:val="0"/>
          <w:sz w:val="24"/>
          <w:highlight w:val="none"/>
        </w:rPr>
        <w:t>6.2申请文件必须在递交截止时间前送达递交地点。逾期送达或未送达指定地点的申请文件，采购人不予接受。</w:t>
      </w:r>
    </w:p>
    <w:p>
      <w:pPr>
        <w:widowControl/>
        <w:adjustRightInd w:val="0"/>
        <w:snapToGrid w:val="0"/>
        <w:spacing w:line="360" w:lineRule="auto"/>
        <w:ind w:firstLine="480" w:firstLineChars="200"/>
        <w:jc w:val="left"/>
        <w:rPr>
          <w:rFonts w:ascii="宋体" w:hAnsi="宋体" w:eastAsia="宋体" w:cs="宋体"/>
          <w:kern w:val="0"/>
          <w:sz w:val="24"/>
          <w:highlight w:val="none"/>
        </w:rPr>
      </w:pPr>
      <w:r>
        <w:rPr>
          <w:rFonts w:ascii="宋体" w:hAnsi="宋体" w:eastAsia="宋体" w:cs="宋体"/>
          <w:kern w:val="0"/>
          <w:sz w:val="24"/>
          <w:highlight w:val="none"/>
        </w:rPr>
        <w:t>6.3</w:t>
      </w:r>
      <w:r>
        <w:rPr>
          <w:rFonts w:hint="eastAsia" w:ascii="宋体" w:hAnsi="宋体" w:eastAsia="宋体" w:cs="宋体"/>
          <w:kern w:val="0"/>
          <w:sz w:val="24"/>
          <w:highlight w:val="none"/>
        </w:rPr>
        <w:t>本次采购不接受邮寄的申请文件。</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highlight w:val="none"/>
        </w:rPr>
        <w:t>6.4文件接收时间：</w:t>
      </w:r>
      <w:r>
        <w:rPr>
          <w:rFonts w:ascii="宋体" w:hAnsi="宋体" w:eastAsia="宋体" w:cs="宋体"/>
          <w:kern w:val="0"/>
          <w:sz w:val="24"/>
          <w:highlight w:val="none"/>
          <w:u w:val="single"/>
        </w:rPr>
        <w:t>2022</w:t>
      </w:r>
      <w:r>
        <w:rPr>
          <w:rFonts w:hint="eastAsia" w:ascii="宋体" w:hAnsi="宋体" w:eastAsia="宋体" w:cs="宋体"/>
          <w:kern w:val="0"/>
          <w:sz w:val="24"/>
          <w:highlight w:val="none"/>
          <w:u w:val="single"/>
        </w:rPr>
        <w:t>年</w:t>
      </w:r>
      <w:r>
        <w:rPr>
          <w:rFonts w:ascii="宋体" w:hAnsi="宋体" w:eastAsia="宋体" w:cs="宋体"/>
          <w:kern w:val="0"/>
          <w:sz w:val="24"/>
          <w:highlight w:val="none"/>
          <w:u w:val="single"/>
        </w:rPr>
        <w:t xml:space="preserve"> </w:t>
      </w:r>
      <w:r>
        <w:rPr>
          <w:rFonts w:hint="eastAsia" w:ascii="宋体" w:hAnsi="宋体" w:eastAsia="宋体" w:cs="宋体"/>
          <w:kern w:val="0"/>
          <w:sz w:val="24"/>
          <w:highlight w:val="none"/>
          <w:u w:val="single"/>
          <w:lang w:val="en-US" w:eastAsia="zh-CN"/>
        </w:rPr>
        <w:t>11</w:t>
      </w:r>
      <w:r>
        <w:rPr>
          <w:rFonts w:ascii="宋体" w:hAnsi="宋体" w:eastAsia="宋体" w:cs="宋体"/>
          <w:kern w:val="0"/>
          <w:sz w:val="24"/>
          <w:highlight w:val="none"/>
          <w:u w:val="single"/>
        </w:rPr>
        <w:t xml:space="preserve"> </w:t>
      </w:r>
      <w:r>
        <w:rPr>
          <w:rFonts w:hint="eastAsia" w:ascii="宋体" w:hAnsi="宋体" w:eastAsia="宋体" w:cs="宋体"/>
          <w:kern w:val="0"/>
          <w:sz w:val="24"/>
          <w:highlight w:val="none"/>
          <w:u w:val="single"/>
        </w:rPr>
        <w:t>月</w:t>
      </w:r>
      <w:r>
        <w:rPr>
          <w:rFonts w:ascii="宋体" w:hAnsi="宋体" w:eastAsia="宋体" w:cs="宋体"/>
          <w:kern w:val="0"/>
          <w:sz w:val="24"/>
          <w:highlight w:val="none"/>
          <w:u w:val="single"/>
        </w:rPr>
        <w:t xml:space="preserve"> </w:t>
      </w:r>
      <w:r>
        <w:rPr>
          <w:rFonts w:hint="eastAsia" w:ascii="宋体" w:hAnsi="宋体" w:eastAsia="宋体" w:cs="宋体"/>
          <w:kern w:val="0"/>
          <w:sz w:val="24"/>
          <w:highlight w:val="none"/>
          <w:u w:val="single"/>
          <w:lang w:val="en-US" w:eastAsia="zh-CN"/>
        </w:rPr>
        <w:t>9</w:t>
      </w:r>
      <w:r>
        <w:rPr>
          <w:rFonts w:ascii="宋体" w:hAnsi="宋体" w:eastAsia="宋体" w:cs="宋体"/>
          <w:kern w:val="0"/>
          <w:sz w:val="24"/>
          <w:highlight w:val="none"/>
          <w:u w:val="single"/>
        </w:rPr>
        <w:t xml:space="preserve"> </w:t>
      </w:r>
      <w:r>
        <w:rPr>
          <w:rFonts w:hint="eastAsia" w:ascii="宋体" w:hAnsi="宋体" w:eastAsia="宋体" w:cs="宋体"/>
          <w:kern w:val="0"/>
          <w:sz w:val="24"/>
          <w:highlight w:val="none"/>
        </w:rPr>
        <w:t>日</w:t>
      </w:r>
      <w:r>
        <w:rPr>
          <w:rFonts w:ascii="宋体" w:hAnsi="宋体" w:eastAsia="宋体" w:cs="宋体"/>
          <w:kern w:val="0"/>
          <w:sz w:val="24"/>
          <w:highlight w:val="none"/>
        </w:rPr>
        <w:t>9: 30</w:t>
      </w:r>
      <w:r>
        <w:rPr>
          <w:rFonts w:ascii="宋体" w:hAnsi="宋体" w:eastAsia="宋体" w:cs="宋体"/>
          <w:kern w:val="0"/>
          <w:sz w:val="24"/>
        </w:rPr>
        <w:t>-</w:t>
      </w:r>
      <w:r>
        <w:rPr>
          <w:rFonts w:hint="eastAsia" w:ascii="宋体" w:hAnsi="宋体" w:eastAsia="宋体" w:cs="宋体"/>
          <w:kern w:val="0"/>
          <w:sz w:val="24"/>
          <w:lang w:val="en-US" w:eastAsia="zh-CN"/>
        </w:rPr>
        <w:t>谈判</w:t>
      </w:r>
      <w:r>
        <w:rPr>
          <w:rFonts w:ascii="宋体" w:hAnsi="宋体" w:eastAsia="宋体" w:cs="宋体"/>
          <w:kern w:val="0"/>
          <w:sz w:val="24"/>
        </w:rPr>
        <w:t>申请文件递交截止时间</w:t>
      </w:r>
      <w:r>
        <w:rPr>
          <w:rFonts w:hint="eastAsia" w:ascii="宋体" w:hAnsi="宋体" w:eastAsia="宋体" w:cs="宋体"/>
          <w:kern w:val="0"/>
          <w:sz w:val="24"/>
        </w:rPr>
        <w:t>。</w:t>
      </w:r>
    </w:p>
    <w:p>
      <w:pPr>
        <w:widowControl/>
        <w:adjustRightInd w:val="0"/>
        <w:snapToGrid w:val="0"/>
        <w:spacing w:line="360" w:lineRule="auto"/>
        <w:ind w:firstLine="470" w:firstLineChars="195"/>
        <w:jc w:val="left"/>
        <w:rPr>
          <w:rFonts w:ascii="宋体" w:hAnsi="宋体" w:eastAsia="宋体" w:cs="宋体"/>
          <w:b/>
          <w:bCs/>
          <w:kern w:val="0"/>
          <w:sz w:val="24"/>
        </w:rPr>
      </w:pPr>
      <w:r>
        <w:rPr>
          <w:rFonts w:hint="eastAsia" w:ascii="宋体" w:hAnsi="宋体" w:eastAsia="宋体" w:cs="宋体"/>
          <w:b/>
          <w:bCs/>
          <w:kern w:val="0"/>
          <w:sz w:val="24"/>
        </w:rPr>
        <w:t xml:space="preserve">7. </w:t>
      </w:r>
      <w:r>
        <w:rPr>
          <w:rFonts w:hint="eastAsia" w:ascii="宋体" w:hAnsi="宋体" w:eastAsia="宋体" w:cs="宋体"/>
          <w:b/>
          <w:bCs/>
          <w:kern w:val="0"/>
          <w:sz w:val="24"/>
          <w:lang w:val="en-US" w:eastAsia="zh-CN"/>
        </w:rPr>
        <w:t>谈判</w:t>
      </w:r>
      <w:r>
        <w:rPr>
          <w:rFonts w:hint="eastAsia" w:ascii="宋体" w:hAnsi="宋体" w:eastAsia="宋体" w:cs="宋体"/>
          <w:b/>
          <w:bCs/>
          <w:kern w:val="0"/>
          <w:sz w:val="24"/>
        </w:rPr>
        <w:t>地点</w:t>
      </w:r>
    </w:p>
    <w:p>
      <w:pPr>
        <w:pStyle w:val="9"/>
        <w:adjustRightInd w:val="0"/>
        <w:snapToGrid w:val="0"/>
        <w:spacing w:after="0" w:line="360" w:lineRule="auto"/>
        <w:ind w:firstLine="480" w:firstLineChars="200"/>
        <w:rPr>
          <w:rFonts w:ascii="宋体" w:hAnsi="宋体" w:eastAsia="宋体" w:cs="宋体"/>
          <w:kern w:val="0"/>
          <w:sz w:val="24"/>
        </w:rPr>
      </w:pPr>
      <w:r>
        <w:rPr>
          <w:rFonts w:hint="eastAsia" w:ascii="宋体" w:hAnsi="宋体" w:eastAsia="宋体" w:cs="宋体"/>
          <w:kern w:val="0"/>
          <w:sz w:val="24"/>
        </w:rPr>
        <w:t>四川</w:t>
      </w:r>
      <w:r>
        <w:rPr>
          <w:rFonts w:hint="eastAsia" w:ascii="宋体" w:hAnsi="宋体" w:eastAsia="宋体" w:cs="宋体"/>
          <w:kern w:val="0"/>
          <w:sz w:val="24"/>
          <w:lang w:val="en-US" w:eastAsia="zh-CN"/>
        </w:rPr>
        <w:t>省轨道交通投资</w:t>
      </w:r>
      <w:r>
        <w:rPr>
          <w:rFonts w:hint="eastAsia" w:ascii="宋体" w:hAnsi="宋体" w:eastAsia="宋体" w:cs="宋体"/>
          <w:kern w:val="0"/>
          <w:sz w:val="24"/>
        </w:rPr>
        <w:t>有限责任公司（成都市锦江区三色路163号银海芯座B座2</w:t>
      </w:r>
      <w:r>
        <w:rPr>
          <w:rFonts w:hint="eastAsia" w:ascii="宋体" w:hAnsi="宋体" w:eastAsia="宋体" w:cs="宋体"/>
          <w:kern w:val="0"/>
          <w:sz w:val="24"/>
          <w:lang w:val="en-US" w:eastAsia="zh-CN"/>
        </w:rPr>
        <w:t>3</w:t>
      </w:r>
      <w:r>
        <w:rPr>
          <w:rFonts w:hint="eastAsia" w:ascii="宋体" w:hAnsi="宋体" w:eastAsia="宋体" w:cs="宋体"/>
          <w:kern w:val="0"/>
          <w:sz w:val="24"/>
        </w:rPr>
        <w:t>楼）。</w:t>
      </w:r>
    </w:p>
    <w:p>
      <w:pPr>
        <w:widowControl/>
        <w:adjustRightInd w:val="0"/>
        <w:snapToGrid w:val="0"/>
        <w:spacing w:line="360" w:lineRule="auto"/>
        <w:ind w:firstLine="470" w:firstLineChars="195"/>
        <w:jc w:val="left"/>
        <w:rPr>
          <w:rFonts w:ascii="宋体" w:hAnsi="宋体" w:eastAsia="宋体" w:cs="宋体"/>
          <w:b/>
          <w:bCs/>
          <w:kern w:val="0"/>
          <w:sz w:val="24"/>
        </w:rPr>
      </w:pPr>
      <w:r>
        <w:rPr>
          <w:rFonts w:hint="eastAsia" w:ascii="宋体" w:hAnsi="宋体" w:eastAsia="宋体" w:cs="宋体"/>
          <w:b/>
          <w:bCs/>
          <w:kern w:val="0"/>
          <w:sz w:val="24"/>
        </w:rPr>
        <w:t>8.联系方式</w:t>
      </w:r>
    </w:p>
    <w:p>
      <w:pPr>
        <w:widowControl/>
        <w:adjustRightInd w:val="0"/>
        <w:snapToGrid w:val="0"/>
        <w:spacing w:line="360" w:lineRule="auto"/>
        <w:ind w:firstLine="480" w:firstLineChars="200"/>
        <w:jc w:val="left"/>
        <w:rPr>
          <w:rFonts w:hint="eastAsia" w:ascii="宋体" w:hAnsi="宋体" w:eastAsia="宋体" w:cs="宋体"/>
          <w:kern w:val="0"/>
          <w:sz w:val="24"/>
          <w:lang w:val="en-US" w:eastAsia="zh-CN"/>
        </w:rPr>
      </w:pPr>
      <w:r>
        <w:rPr>
          <w:rFonts w:hint="eastAsia" w:ascii="宋体" w:hAnsi="宋体" w:eastAsia="宋体" w:cs="宋体"/>
          <w:kern w:val="0"/>
          <w:sz w:val="24"/>
        </w:rPr>
        <w:t>采购人：四川</w:t>
      </w:r>
      <w:r>
        <w:rPr>
          <w:rFonts w:hint="eastAsia" w:ascii="宋体" w:hAnsi="宋体" w:eastAsia="宋体" w:cs="宋体"/>
          <w:kern w:val="0"/>
          <w:sz w:val="24"/>
          <w:lang w:val="en-US" w:eastAsia="zh-CN"/>
        </w:rPr>
        <w:t>省轨道交通投资有限责任公司</w:t>
      </w:r>
    </w:p>
    <w:p>
      <w:pPr>
        <w:widowControl/>
        <w:adjustRightInd w:val="0"/>
        <w:snapToGrid w:val="0"/>
        <w:spacing w:line="360" w:lineRule="auto"/>
        <w:ind w:firstLine="480" w:firstLineChars="200"/>
        <w:jc w:val="left"/>
        <w:rPr>
          <w:rFonts w:hint="default" w:ascii="宋体" w:hAnsi="宋体" w:eastAsia="宋体" w:cs="宋体"/>
          <w:kern w:val="0"/>
          <w:sz w:val="24"/>
          <w:lang w:val="en-US" w:eastAsia="zh-CN"/>
        </w:rPr>
      </w:pPr>
      <w:r>
        <w:rPr>
          <w:rFonts w:hint="eastAsia" w:ascii="宋体" w:hAnsi="宋体" w:eastAsia="宋体" w:cs="宋体"/>
          <w:kern w:val="0"/>
          <w:sz w:val="24"/>
        </w:rPr>
        <w:t>地址</w:t>
      </w:r>
      <w:bookmarkStart w:id="0" w:name="_Hlk526930783"/>
      <w:r>
        <w:rPr>
          <w:rFonts w:hint="eastAsia" w:ascii="宋体" w:hAnsi="宋体" w:eastAsia="宋体" w:cs="宋体"/>
          <w:kern w:val="0"/>
          <w:sz w:val="24"/>
        </w:rPr>
        <w:t>：成都市锦江区三色路163号银海芯座B</w:t>
      </w:r>
      <w:bookmarkEnd w:id="0"/>
      <w:r>
        <w:rPr>
          <w:rFonts w:hint="eastAsia" w:ascii="宋体" w:hAnsi="宋体" w:eastAsia="宋体" w:cs="宋体"/>
          <w:kern w:val="0"/>
          <w:sz w:val="24"/>
          <w:lang w:val="en-US" w:eastAsia="zh-CN"/>
        </w:rPr>
        <w:t>座23楼</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邮编：</w:t>
      </w:r>
      <w:r>
        <w:fldChar w:fldCharType="begin"/>
      </w:r>
      <w:r>
        <w:instrText xml:space="preserve"> HYPERLINK "http://waiter.www.so.com/postcode/s?q=610023" </w:instrText>
      </w:r>
      <w:r>
        <w:fldChar w:fldCharType="separate"/>
      </w:r>
      <w:r>
        <w:rPr>
          <w:rFonts w:hint="eastAsia" w:ascii="宋体" w:hAnsi="宋体" w:eastAsia="宋体" w:cs="宋体"/>
          <w:kern w:val="0"/>
          <w:sz w:val="24"/>
        </w:rPr>
        <w:t>610023</w:t>
      </w:r>
      <w:r>
        <w:rPr>
          <w:rFonts w:hint="eastAsia" w:ascii="宋体" w:hAnsi="宋体" w:eastAsia="宋体" w:cs="宋体"/>
          <w:kern w:val="0"/>
          <w:sz w:val="24"/>
        </w:rPr>
        <w:fldChar w:fldCharType="end"/>
      </w:r>
    </w:p>
    <w:p>
      <w:pPr>
        <w:widowControl/>
        <w:adjustRightInd w:val="0"/>
        <w:snapToGrid w:val="0"/>
        <w:spacing w:line="360" w:lineRule="auto"/>
        <w:ind w:firstLine="480" w:firstLineChars="200"/>
        <w:jc w:val="left"/>
        <w:rPr>
          <w:rFonts w:hint="eastAsia" w:ascii="宋体" w:hAnsi="宋体" w:eastAsia="宋体" w:cs="宋体"/>
          <w:kern w:val="0"/>
          <w:sz w:val="24"/>
          <w:lang w:val="en-US" w:eastAsia="zh-CN"/>
        </w:rPr>
      </w:pPr>
      <w:r>
        <w:rPr>
          <w:rFonts w:hint="eastAsia" w:ascii="宋体" w:hAnsi="宋体" w:eastAsia="宋体" w:cs="宋体"/>
          <w:kern w:val="0"/>
          <w:sz w:val="24"/>
        </w:rPr>
        <w:t>联系人：</w:t>
      </w:r>
      <w:r>
        <w:rPr>
          <w:rFonts w:hint="eastAsia" w:ascii="宋体" w:hAnsi="宋体" w:eastAsia="宋体" w:cs="宋体"/>
          <w:kern w:val="0"/>
          <w:sz w:val="24"/>
          <w:lang w:val="en-US" w:eastAsia="zh-CN"/>
        </w:rPr>
        <w:t>高女士</w:t>
      </w:r>
    </w:p>
    <w:p>
      <w:pPr>
        <w:widowControl/>
        <w:adjustRightInd w:val="0"/>
        <w:snapToGrid w:val="0"/>
        <w:spacing w:line="360" w:lineRule="auto"/>
        <w:ind w:firstLine="480" w:firstLineChars="200"/>
        <w:jc w:val="left"/>
        <w:rPr>
          <w:rFonts w:ascii="宋体" w:hAnsi="宋体" w:eastAsia="宋体" w:cs="宋体"/>
          <w:kern w:val="0"/>
          <w:sz w:val="24"/>
        </w:rPr>
      </w:pPr>
      <w:r>
        <w:rPr>
          <w:rFonts w:hint="eastAsia" w:ascii="宋体" w:hAnsi="宋体" w:eastAsia="宋体" w:cs="宋体"/>
          <w:kern w:val="0"/>
          <w:sz w:val="24"/>
        </w:rPr>
        <w:t>联系电话：</w:t>
      </w:r>
      <w:r>
        <w:rPr>
          <w:rFonts w:hint="eastAsia" w:ascii="宋体" w:hAnsi="宋体" w:eastAsia="宋体" w:cs="宋体"/>
          <w:kern w:val="0"/>
          <w:sz w:val="24"/>
          <w:lang w:val="en-US" w:eastAsia="zh-CN"/>
        </w:rPr>
        <w:t>18708435193</w:t>
      </w:r>
      <w:r>
        <w:rPr>
          <w:rFonts w:ascii="宋体" w:hAnsi="宋体" w:eastAsia="宋体" w:cs="宋体"/>
          <w:kern w:val="0"/>
          <w:sz w:val="24"/>
        </w:rPr>
        <w:br w:type="page"/>
      </w:r>
    </w:p>
    <w:p>
      <w:pPr>
        <w:spacing w:line="480" w:lineRule="exact"/>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rPr>
        <w:t>第二章 竞争谈判须知</w:t>
      </w:r>
    </w:p>
    <w:p>
      <w:pPr>
        <w:pStyle w:val="9"/>
        <w:spacing w:after="0" w:line="480" w:lineRule="exact"/>
        <w:rPr>
          <w:rFonts w:ascii="宋体" w:hAnsi="宋体" w:eastAsia="宋体" w:cs="宋体"/>
          <w:sz w:val="28"/>
          <w:szCs w:val="28"/>
        </w:rPr>
      </w:pPr>
    </w:p>
    <w:p>
      <w:pPr>
        <w:keepNext w:val="0"/>
        <w:keepLines w:val="0"/>
        <w:pageBreakBefore w:val="0"/>
        <w:kinsoku/>
        <w:wordWrap/>
        <w:overflowPunct/>
        <w:topLinePunct w:val="0"/>
        <w:autoSpaceDE/>
        <w:autoSpaceDN/>
        <w:bidi w:val="0"/>
        <w:adjustRightInd w:val="0"/>
        <w:snapToGrid w:val="0"/>
        <w:spacing w:line="400" w:lineRule="exact"/>
        <w:ind w:firstLine="482" w:firstLineChars="200"/>
        <w:textAlignment w:val="auto"/>
        <w:rPr>
          <w:rFonts w:ascii="宋体" w:hAnsi="宋体" w:eastAsia="宋体" w:cs="宋体"/>
          <w:b/>
          <w:bCs/>
          <w:sz w:val="24"/>
        </w:rPr>
      </w:pPr>
      <w:r>
        <w:rPr>
          <w:rFonts w:hint="eastAsia" w:ascii="宋体" w:hAnsi="宋体" w:eastAsia="宋体" w:cs="宋体"/>
          <w:b/>
          <w:bCs/>
          <w:sz w:val="24"/>
        </w:rPr>
        <w:t>1. 竞争谈判项目概况</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ascii="宋体" w:hAnsi="宋体" w:eastAsia="宋体" w:cs="宋体"/>
          <w:sz w:val="24"/>
        </w:rPr>
      </w:pPr>
      <w:r>
        <w:rPr>
          <w:rFonts w:hint="eastAsia" w:ascii="宋体" w:hAnsi="宋体" w:eastAsia="宋体" w:cs="宋体"/>
          <w:sz w:val="24"/>
        </w:rPr>
        <w:t>详见第一章竞争谈判公告。</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rPr>
      </w:pPr>
      <w:r>
        <w:rPr>
          <w:rFonts w:hint="eastAsia" w:ascii="宋体" w:hAnsi="宋体" w:eastAsia="宋体" w:cs="宋体"/>
          <w:b/>
          <w:bCs/>
          <w:sz w:val="24"/>
        </w:rPr>
        <w:t>2.竞争谈判申请人资格要求</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ascii="宋体" w:hAnsi="宋体" w:eastAsia="宋体" w:cs="宋体"/>
          <w:sz w:val="24"/>
        </w:rPr>
      </w:pPr>
      <w:r>
        <w:rPr>
          <w:rFonts w:hint="eastAsia" w:ascii="宋体" w:hAnsi="宋体" w:eastAsia="宋体" w:cs="宋体"/>
          <w:sz w:val="24"/>
        </w:rPr>
        <w:t>详见第一章竞争谈判公告。</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rPr>
      </w:pPr>
      <w:r>
        <w:rPr>
          <w:rFonts w:hint="eastAsia" w:ascii="宋体" w:hAnsi="宋体" w:eastAsia="宋体" w:cs="宋体"/>
          <w:b/>
          <w:bCs/>
          <w:sz w:val="24"/>
        </w:rPr>
        <w:t>3. 申请文件的内容</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（1）法定代表人身份证明书；</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（2）法定代表人授权委托书；</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（3）报价函；</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（4）报价明细表；</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（5）营业执照或法人证书；</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6</w:t>
      </w:r>
      <w:r>
        <w:rPr>
          <w:rFonts w:hint="eastAsia" w:ascii="宋体" w:hAnsi="宋体" w:eastAsia="宋体" w:cs="宋体"/>
          <w:sz w:val="24"/>
        </w:rPr>
        <w:t>）关于信誉情况的承诺函；</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7</w:t>
      </w:r>
      <w:r>
        <w:rPr>
          <w:rFonts w:hint="eastAsia" w:ascii="宋体" w:hAnsi="宋体" w:eastAsia="宋体" w:cs="宋体"/>
          <w:sz w:val="24"/>
        </w:rPr>
        <w:t>）类似项目业绩；</w:t>
      </w:r>
    </w:p>
    <w:p>
      <w:pPr>
        <w:pStyle w:val="2"/>
        <w:ind w:left="0" w:leftChars="0" w:firstLine="480" w:firstLineChars="200"/>
        <w:rPr>
          <w:rFonts w:hint="eastAsia" w:ascii="宋体" w:hAnsi="宋体" w:eastAsia="宋体" w:cs="宋体"/>
          <w:sz w:val="24"/>
          <w:lang w:val="en-US" w:eastAsia="zh-CN"/>
        </w:rPr>
      </w:pPr>
      <w:r>
        <w:rPr>
          <w:rFonts w:hint="eastAsia" w:ascii="宋体" w:hAnsi="宋体" w:eastAsia="宋体" w:cs="宋体"/>
          <w:sz w:val="24"/>
          <w:lang w:eastAsia="zh-CN"/>
        </w:rPr>
        <w:t>（</w:t>
      </w:r>
      <w:r>
        <w:rPr>
          <w:rFonts w:hint="eastAsia" w:ascii="宋体" w:hAnsi="宋体" w:eastAsia="宋体" w:cs="宋体"/>
          <w:sz w:val="24"/>
          <w:lang w:val="en-US" w:eastAsia="zh-CN"/>
        </w:rPr>
        <w:t>8</w:t>
      </w:r>
      <w:r>
        <w:rPr>
          <w:rFonts w:hint="eastAsia" w:ascii="宋体" w:hAnsi="宋体" w:eastAsia="宋体" w:cs="宋体"/>
          <w:sz w:val="24"/>
          <w:lang w:eastAsia="zh-CN"/>
        </w:rPr>
        <w:t>）</w:t>
      </w:r>
      <w:r>
        <w:rPr>
          <w:rFonts w:hint="eastAsia" w:ascii="宋体" w:hAnsi="宋体" w:eastAsia="宋体" w:cs="宋体"/>
          <w:sz w:val="24"/>
          <w:lang w:val="en-US" w:eastAsia="zh-CN"/>
        </w:rPr>
        <w:t>服务方案；</w:t>
      </w:r>
    </w:p>
    <w:p>
      <w:pPr>
        <w:pStyle w:val="2"/>
        <w:ind w:left="0" w:leftChars="0" w:firstLine="480" w:firstLineChars="200"/>
        <w:rPr>
          <w:rFonts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9</w:t>
      </w:r>
      <w:r>
        <w:rPr>
          <w:rFonts w:hint="eastAsia" w:ascii="宋体" w:hAnsi="宋体" w:eastAsia="宋体" w:cs="宋体"/>
          <w:sz w:val="24"/>
        </w:rPr>
        <w:t>）竞争谈判申请人认为有必要提供的其他材料。</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rPr>
      </w:pPr>
      <w:r>
        <w:rPr>
          <w:rFonts w:hint="eastAsia" w:ascii="宋体" w:hAnsi="宋体" w:eastAsia="宋体" w:cs="宋体"/>
          <w:b/>
          <w:bCs/>
          <w:sz w:val="24"/>
        </w:rPr>
        <w:t>4. 申请文件签字及装订要求</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4.1 申请文件要求按规定格式和内容编制，份数为2份，其中正本壹份、副本壹份。封面注明“正本”或“副本”字样，当正副本不一致时以正本为准，但副本和正本内容不一致造成的评审差错由竞争谈判申请人自行承担。竞争谈判申请文件正本需在规定签章处签字和盖章，副本应当由正本签字盖章完成后复印生成。</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4.2 所有要求签字的地方都应用不褪色的墨水或签字笔由本人亲笔手书签字，不得用盖章代替，也不得由他人代签；所有要求盖章的地方都应加盖竞争谈判申请人单位章，不得使用专用印章或下属单位印章代替。申请文件中要求法定代表人或其委托代理人签字的地方，法定代表人亲自参选而不委托代理人参选的，由法定代表人签字。</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4.3 申请文件采用A4纸编制，图、表及证件等折叠成A4大小。</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4.4 申请文件应装订，不得有零散页，不得采用活页夹固定。</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4.5 申请文件应密封完好（密封方式不限），封口处加盖单位公章或法定代表人印章。</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密封和加写标记的申请文件不符合要求的，采购人</w:t>
      </w:r>
      <w:r>
        <w:rPr>
          <w:rFonts w:hint="eastAsia" w:ascii="宋体" w:hAnsi="宋体" w:eastAsia="宋体" w:cs="宋体"/>
          <w:kern w:val="0"/>
          <w:sz w:val="24"/>
        </w:rPr>
        <w:t>不予接受</w:t>
      </w:r>
      <w:r>
        <w:rPr>
          <w:rFonts w:hint="eastAsia" w:ascii="宋体" w:hAnsi="宋体" w:eastAsia="宋体" w:cs="宋体"/>
          <w:sz w:val="24"/>
        </w:rPr>
        <w:t>。</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rPr>
      </w:pPr>
      <w:r>
        <w:rPr>
          <w:rFonts w:hint="eastAsia" w:ascii="宋体" w:hAnsi="宋体" w:eastAsia="宋体" w:cs="宋体"/>
          <w:b/>
          <w:bCs/>
          <w:sz w:val="24"/>
        </w:rPr>
        <w:t>5. 申请文件的递交</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kern w:val="0"/>
          <w:sz w:val="24"/>
          <w:highlight w:val="none"/>
        </w:rPr>
      </w:pPr>
      <w:r>
        <w:rPr>
          <w:rFonts w:hint="eastAsia" w:ascii="宋体" w:hAnsi="宋体" w:eastAsia="宋体" w:cs="宋体"/>
          <w:kern w:val="0"/>
          <w:sz w:val="24"/>
        </w:rPr>
        <w:t>5.1 递交截止时</w:t>
      </w:r>
      <w:r>
        <w:rPr>
          <w:rFonts w:hint="eastAsia" w:ascii="宋体" w:hAnsi="宋体" w:eastAsia="宋体" w:cs="宋体"/>
          <w:kern w:val="0"/>
          <w:sz w:val="24"/>
          <w:highlight w:val="none"/>
        </w:rPr>
        <w:t>间：</w:t>
      </w:r>
      <w:r>
        <w:rPr>
          <w:rFonts w:hint="eastAsia" w:ascii="宋体" w:hAnsi="宋体" w:eastAsia="宋体" w:cs="宋体"/>
          <w:sz w:val="24"/>
          <w:highlight w:val="none"/>
          <w:u w:val="single"/>
        </w:rPr>
        <w:t xml:space="preserve"> </w:t>
      </w:r>
      <w:r>
        <w:rPr>
          <w:rFonts w:hint="eastAsia" w:ascii="宋体" w:hAnsi="宋体" w:eastAsia="宋体" w:cs="宋体"/>
          <w:sz w:val="24"/>
          <w:highlight w:val="none"/>
          <w:u w:val="single"/>
          <w:lang w:val="en-US" w:eastAsia="zh-CN"/>
        </w:rPr>
        <w:t>2022</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年</w:t>
      </w:r>
      <w:r>
        <w:rPr>
          <w:rFonts w:hint="eastAsia" w:ascii="宋体" w:hAnsi="宋体" w:eastAsia="宋体" w:cs="宋体"/>
          <w:sz w:val="24"/>
          <w:highlight w:val="none"/>
          <w:u w:val="single"/>
        </w:rPr>
        <w:t xml:space="preserve">  </w:t>
      </w:r>
      <w:r>
        <w:rPr>
          <w:rFonts w:hint="eastAsia" w:ascii="宋体" w:hAnsi="宋体" w:eastAsia="宋体" w:cs="宋体"/>
          <w:sz w:val="24"/>
          <w:highlight w:val="none"/>
          <w:u w:val="single"/>
          <w:lang w:val="en-US" w:eastAsia="zh-CN"/>
        </w:rPr>
        <w:t>11</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月</w:t>
      </w:r>
      <w:r>
        <w:rPr>
          <w:rFonts w:hint="eastAsia" w:ascii="宋体" w:hAnsi="宋体" w:eastAsia="宋体" w:cs="宋体"/>
          <w:sz w:val="24"/>
          <w:highlight w:val="none"/>
          <w:u w:val="single"/>
        </w:rPr>
        <w:t xml:space="preserve">  </w:t>
      </w:r>
      <w:r>
        <w:rPr>
          <w:rFonts w:hint="eastAsia" w:ascii="宋体" w:hAnsi="宋体" w:eastAsia="宋体" w:cs="宋体"/>
          <w:sz w:val="24"/>
          <w:highlight w:val="none"/>
          <w:u w:val="single"/>
          <w:lang w:val="en-US" w:eastAsia="zh-CN"/>
        </w:rPr>
        <w:t xml:space="preserve">9 </w:t>
      </w:r>
      <w:r>
        <w:rPr>
          <w:rFonts w:hint="eastAsia" w:ascii="宋体" w:hAnsi="宋体" w:eastAsia="宋体" w:cs="宋体"/>
          <w:sz w:val="24"/>
          <w:highlight w:val="none"/>
        </w:rPr>
        <w:t>日</w:t>
      </w:r>
      <w:r>
        <w:rPr>
          <w:rFonts w:hint="eastAsia" w:ascii="宋体" w:hAnsi="宋体" w:eastAsia="宋体" w:cs="宋体"/>
          <w:sz w:val="24"/>
          <w:highlight w:val="none"/>
          <w:u w:val="single"/>
        </w:rPr>
        <w:t xml:space="preserve"> </w:t>
      </w:r>
      <w:r>
        <w:rPr>
          <w:rFonts w:hint="eastAsia" w:ascii="宋体" w:hAnsi="宋体" w:eastAsia="宋体" w:cs="宋体"/>
          <w:sz w:val="24"/>
          <w:highlight w:val="none"/>
          <w:u w:val="single"/>
          <w:lang w:val="en-US" w:eastAsia="zh-CN"/>
        </w:rPr>
        <w:t>10</w:t>
      </w:r>
      <w:r>
        <w:rPr>
          <w:rFonts w:hint="eastAsia" w:ascii="宋体" w:hAnsi="宋体" w:eastAsia="宋体" w:cs="宋体"/>
          <w:sz w:val="24"/>
          <w:highlight w:val="none"/>
          <w:u w:val="single"/>
        </w:rPr>
        <w:t xml:space="preserve">  </w:t>
      </w:r>
      <w:r>
        <w:rPr>
          <w:rFonts w:hint="eastAsia" w:ascii="宋体" w:hAnsi="宋体" w:eastAsia="宋体" w:cs="宋体"/>
          <w:kern w:val="0"/>
          <w:sz w:val="24"/>
          <w:highlight w:val="none"/>
        </w:rPr>
        <w:t>时</w:t>
      </w:r>
      <w:r>
        <w:rPr>
          <w:rFonts w:hint="eastAsia" w:ascii="宋体" w:hAnsi="宋体" w:eastAsia="宋体" w:cs="宋体"/>
          <w:sz w:val="24"/>
          <w:highlight w:val="none"/>
          <w:u w:val="single"/>
        </w:rPr>
        <w:t xml:space="preserve"> </w:t>
      </w:r>
      <w:r>
        <w:rPr>
          <w:rFonts w:hint="eastAsia" w:ascii="宋体" w:hAnsi="宋体" w:eastAsia="宋体" w:cs="宋体"/>
          <w:sz w:val="24"/>
          <w:highlight w:val="none"/>
          <w:u w:val="single"/>
          <w:lang w:val="en-US" w:eastAsia="zh-CN"/>
        </w:rPr>
        <w:t>00</w:t>
      </w:r>
      <w:r>
        <w:rPr>
          <w:rFonts w:hint="eastAsia" w:ascii="宋体" w:hAnsi="宋体" w:eastAsia="宋体" w:cs="宋体"/>
          <w:sz w:val="24"/>
          <w:highlight w:val="none"/>
          <w:u w:val="single"/>
        </w:rPr>
        <w:t xml:space="preserve">  </w:t>
      </w:r>
      <w:r>
        <w:rPr>
          <w:rFonts w:hint="eastAsia" w:ascii="宋体" w:hAnsi="宋体" w:eastAsia="宋体" w:cs="宋体"/>
          <w:kern w:val="0"/>
          <w:sz w:val="24"/>
          <w:highlight w:val="none"/>
        </w:rPr>
        <w:t>分。</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kern w:val="0"/>
          <w:sz w:val="24"/>
        </w:rPr>
      </w:pPr>
      <w:r>
        <w:rPr>
          <w:rFonts w:hint="eastAsia" w:ascii="宋体" w:hAnsi="宋体" w:eastAsia="宋体" w:cs="宋体"/>
          <w:kern w:val="0"/>
          <w:sz w:val="24"/>
          <w:highlight w:val="none"/>
        </w:rPr>
        <w:t>5.2 递交地点：成都市锦江区三色路163号银海芯座写字楼B座2</w:t>
      </w:r>
      <w:r>
        <w:rPr>
          <w:rFonts w:hint="eastAsia" w:ascii="宋体" w:hAnsi="宋体" w:eastAsia="宋体" w:cs="宋体"/>
          <w:kern w:val="0"/>
          <w:sz w:val="24"/>
          <w:highlight w:val="none"/>
          <w:lang w:val="en-US" w:eastAsia="zh-CN"/>
        </w:rPr>
        <w:t>3</w:t>
      </w:r>
      <w:r>
        <w:rPr>
          <w:rFonts w:hint="eastAsia" w:ascii="宋体" w:hAnsi="宋体" w:eastAsia="宋体" w:cs="宋体"/>
          <w:kern w:val="0"/>
          <w:sz w:val="24"/>
          <w:highlight w:val="none"/>
        </w:rPr>
        <w:t>层</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u w:val="single"/>
          <w:lang w:val="en-US" w:eastAsia="zh-CN"/>
        </w:rPr>
        <w:t>2302</w:t>
      </w:r>
      <w:r>
        <w:rPr>
          <w:rFonts w:hint="eastAsia" w:ascii="宋体" w:hAnsi="宋体" w:eastAsia="宋体" w:cs="宋体"/>
          <w:kern w:val="0"/>
          <w:sz w:val="24"/>
          <w:u w:val="single"/>
        </w:rPr>
        <w:t xml:space="preserve"> </w:t>
      </w:r>
      <w:r>
        <w:rPr>
          <w:rFonts w:hint="eastAsia" w:ascii="宋体" w:hAnsi="宋体" w:eastAsia="宋体" w:cs="宋体"/>
          <w:kern w:val="0"/>
          <w:sz w:val="24"/>
        </w:rPr>
        <w:t>号会议室；</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kern w:val="0"/>
          <w:sz w:val="24"/>
        </w:rPr>
      </w:pPr>
      <w:r>
        <w:rPr>
          <w:rFonts w:hint="eastAsia" w:ascii="宋体" w:hAnsi="宋体" w:eastAsia="宋体" w:cs="宋体"/>
          <w:kern w:val="0"/>
          <w:sz w:val="24"/>
        </w:rPr>
        <w:t>5.3 申请文件必须在递交截止时间前送达递交地点。逾期送达或未送达指定地点的申请文件，采购人不予接受。</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5.4 未按本文件要求密封的申请文件，</w:t>
      </w:r>
      <w:r>
        <w:rPr>
          <w:rFonts w:hint="eastAsia" w:ascii="宋体" w:hAnsi="宋体" w:eastAsia="宋体" w:cs="宋体"/>
          <w:kern w:val="0"/>
          <w:sz w:val="24"/>
        </w:rPr>
        <w:t>采购人不予接受</w:t>
      </w:r>
      <w:r>
        <w:rPr>
          <w:rFonts w:hint="eastAsia" w:ascii="宋体" w:hAnsi="宋体" w:eastAsia="宋体" w:cs="宋体"/>
          <w:sz w:val="24"/>
        </w:rPr>
        <w:t>。</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kern w:val="0"/>
          <w:sz w:val="24"/>
        </w:rPr>
      </w:pPr>
      <w:r>
        <w:rPr>
          <w:rFonts w:hint="eastAsia" w:ascii="宋体" w:hAnsi="宋体" w:eastAsia="宋体" w:cs="宋体"/>
          <w:kern w:val="0"/>
          <w:sz w:val="24"/>
        </w:rPr>
        <w:t>5.5 不接受邮寄的申请文件。</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rPr>
        <w:t>5.6 竞争谈判申请文件在</w:t>
      </w:r>
      <w:r>
        <w:rPr>
          <w:rFonts w:hint="eastAsia" w:ascii="宋体" w:hAnsi="宋体" w:eastAsia="宋体" w:cs="宋体"/>
          <w:sz w:val="24"/>
          <w:highlight w:val="none"/>
        </w:rPr>
        <w:t>本竞争谈判文件规定的竞争谈判截止之日起60日历天内有效。</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highlight w:val="none"/>
        </w:rPr>
      </w:pPr>
      <w:r>
        <w:rPr>
          <w:rFonts w:hint="eastAsia" w:ascii="宋体" w:hAnsi="宋体" w:eastAsia="宋体" w:cs="宋体"/>
          <w:b/>
          <w:bCs/>
          <w:sz w:val="24"/>
          <w:highlight w:val="none"/>
        </w:rPr>
        <w:t>6. 报价要求</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sz w:val="24"/>
          <w:szCs w:val="24"/>
          <w:highlight w:val="none"/>
        </w:rPr>
      </w:pPr>
      <w:r>
        <w:rPr>
          <w:rFonts w:hint="eastAsia" w:ascii="宋体" w:hAnsi="宋体" w:eastAsia="宋体" w:cs="宋体"/>
          <w:b/>
          <w:sz w:val="24"/>
          <w:szCs w:val="24"/>
          <w:highlight w:val="none"/>
        </w:rPr>
        <w:t>6.1 本次竞争谈判项目最高限价（含税）</w:t>
      </w:r>
      <w:r>
        <w:rPr>
          <w:rFonts w:ascii="宋体" w:hAnsi="宋体" w:eastAsia="宋体" w:cs="宋体"/>
          <w:b/>
          <w:sz w:val="24"/>
          <w:szCs w:val="24"/>
          <w:highlight w:val="none"/>
          <w:u w:val="single"/>
        </w:rPr>
        <w:t xml:space="preserve"> </w:t>
      </w:r>
      <w:r>
        <w:rPr>
          <w:rFonts w:hint="eastAsia" w:ascii="宋体" w:hAnsi="宋体" w:eastAsia="宋体" w:cs="宋体"/>
          <w:b/>
          <w:sz w:val="24"/>
          <w:szCs w:val="24"/>
          <w:highlight w:val="none"/>
          <w:u w:val="single"/>
          <w:lang w:val="en-US" w:eastAsia="zh-CN"/>
        </w:rPr>
        <w:t>750000</w:t>
      </w:r>
      <w:r>
        <w:rPr>
          <w:rFonts w:ascii="宋体" w:hAnsi="宋体" w:eastAsia="宋体" w:cs="宋体"/>
          <w:b/>
          <w:sz w:val="24"/>
          <w:szCs w:val="24"/>
          <w:highlight w:val="none"/>
          <w:u w:val="single"/>
        </w:rPr>
        <w:t xml:space="preserve"> </w:t>
      </w:r>
      <w:r>
        <w:rPr>
          <w:rFonts w:hint="eastAsia" w:ascii="宋体" w:hAnsi="宋体" w:eastAsia="宋体" w:cs="宋体"/>
          <w:b/>
          <w:sz w:val="24"/>
          <w:szCs w:val="24"/>
          <w:highlight w:val="none"/>
        </w:rPr>
        <w:t>元，超过最高限价的报价无效。</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6.2 竞争谈判申请人根据项目概况，结合企业自身情况及管理经验对采购内容进行报价。报价有算术错误的，其申请文件作否决处理。</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6.3 申请文件中的报价应是为完成竞争谈判文件约定工作内容所发生的成本、利润、管理费、税金、风险费、延期补偿费等全部费用。若国家税率调整，税金按合同条款相关约定执行。</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6.4 竞争谈判申请人只能有唯一的有效报价，采购人不接受任何有选择性的报价。</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6.5 竞争谈判申请人在报价前应当仔细阅读本竞争谈判文件中的合同条款。中选的竞争谈判申请人所报价格将作为其与采购人签订采购合同及进行费用结算的依据。</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highlight w:val="none"/>
        </w:rPr>
      </w:pPr>
      <w:r>
        <w:rPr>
          <w:rFonts w:hint="eastAsia" w:ascii="宋体" w:hAnsi="宋体" w:eastAsia="宋体" w:cs="宋体"/>
          <w:b/>
          <w:bCs/>
          <w:sz w:val="24"/>
          <w:highlight w:val="none"/>
        </w:rPr>
        <w:t>7. 竞争谈判申请人限制申请的情形</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7.1 被暂停或取消申请资格的；</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7.2 财产被冻结或结管的；</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7.3 近3年内有围标串标、骗取中标、严重违约行为或存在重大质量问题的；</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textAlignment w:val="auto"/>
        <w:rPr>
          <w:rFonts w:ascii="宋体" w:hAnsi="宋体" w:eastAsia="宋体" w:cs="宋体"/>
          <w:sz w:val="24"/>
          <w:highlight w:val="none"/>
        </w:rPr>
      </w:pPr>
      <w:r>
        <w:rPr>
          <w:rFonts w:hint="eastAsia" w:ascii="宋体" w:hAnsi="宋体" w:eastAsia="宋体" w:cs="宋体"/>
          <w:sz w:val="24"/>
          <w:highlight w:val="none"/>
        </w:rPr>
        <w:t>7.4 近半年内在采购活动或合同履行过程中被行政监督部门处罚的。</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highlight w:val="none"/>
        </w:rPr>
      </w:pPr>
      <w:r>
        <w:rPr>
          <w:rFonts w:hint="eastAsia" w:ascii="宋体" w:hAnsi="宋体" w:eastAsia="宋体" w:cs="宋体"/>
          <w:b/>
          <w:bCs/>
          <w:sz w:val="24"/>
          <w:highlight w:val="none"/>
        </w:rPr>
        <w:t>8. 竞争谈判申请人有下列情形之一的，不得参与同一项目的竞争谈判，关联方的申请文件均作否决处理：</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textAlignment w:val="auto"/>
        <w:rPr>
          <w:rFonts w:ascii="宋体" w:hAnsi="宋体" w:eastAsia="宋体" w:cs="宋体"/>
          <w:sz w:val="24"/>
          <w:highlight w:val="none"/>
        </w:rPr>
      </w:pPr>
      <w:r>
        <w:rPr>
          <w:rFonts w:hint="eastAsia" w:ascii="宋体" w:hAnsi="宋体" w:eastAsia="宋体" w:cs="宋体"/>
          <w:sz w:val="24"/>
          <w:highlight w:val="none"/>
        </w:rPr>
        <w:t>（1）法定代表人为同一人的；</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textAlignment w:val="auto"/>
        <w:rPr>
          <w:rFonts w:ascii="宋体" w:hAnsi="宋体" w:eastAsia="宋体" w:cs="宋体"/>
          <w:sz w:val="24"/>
          <w:highlight w:val="none"/>
        </w:rPr>
      </w:pPr>
      <w:r>
        <w:rPr>
          <w:rFonts w:hint="eastAsia" w:ascii="宋体" w:hAnsi="宋体" w:eastAsia="宋体" w:cs="宋体"/>
          <w:sz w:val="24"/>
          <w:highlight w:val="none"/>
        </w:rPr>
        <w:t>（2）母公司与其全资子公司或控股公司。</w:t>
      </w:r>
    </w:p>
    <w:p>
      <w:pPr>
        <w:keepNext w:val="0"/>
        <w:keepLines w:val="0"/>
        <w:pageBreakBefore w:val="0"/>
        <w:widowControl/>
        <w:kinsoku/>
        <w:wordWrap/>
        <w:overflowPunct/>
        <w:topLinePunct w:val="0"/>
        <w:autoSpaceDE/>
        <w:autoSpaceDN/>
        <w:bidi w:val="0"/>
        <w:adjustRightInd w:val="0"/>
        <w:snapToGrid w:val="0"/>
        <w:spacing w:line="400" w:lineRule="exact"/>
        <w:ind w:firstLine="482" w:firstLineChars="200"/>
        <w:jc w:val="left"/>
        <w:textAlignment w:val="auto"/>
        <w:rPr>
          <w:rFonts w:ascii="宋体" w:hAnsi="宋体" w:eastAsia="宋体" w:cs="宋体"/>
          <w:b/>
          <w:bCs/>
          <w:sz w:val="24"/>
          <w:highlight w:val="none"/>
        </w:rPr>
      </w:pPr>
      <w:r>
        <w:rPr>
          <w:rFonts w:hint="eastAsia" w:ascii="宋体" w:hAnsi="宋体" w:eastAsia="宋体" w:cs="宋体"/>
          <w:b/>
          <w:bCs/>
          <w:sz w:val="24"/>
          <w:highlight w:val="none"/>
        </w:rPr>
        <w:t>9. 评审规则</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9.1 本次竞争谈判活动由采购人组建评选小组，负责本项目的谈判和评审工作。本次竞争谈判采取</w:t>
      </w:r>
      <w:r>
        <w:rPr>
          <w:rFonts w:hint="eastAsia" w:ascii="宋体" w:hAnsi="宋体" w:eastAsia="宋体" w:cs="宋体"/>
          <w:b/>
          <w:sz w:val="24"/>
          <w:highlight w:val="none"/>
        </w:rPr>
        <w:t>综合评分法</w:t>
      </w:r>
      <w:r>
        <w:rPr>
          <w:rFonts w:ascii="宋体" w:hAnsi="宋体" w:eastAsia="宋体" w:cs="宋体"/>
          <w:sz w:val="24"/>
          <w:highlight w:val="none"/>
        </w:rPr>
        <w:t>。</w:t>
      </w:r>
    </w:p>
    <w:p>
      <w:pPr>
        <w:keepNext w:val="0"/>
        <w:keepLines w:val="0"/>
        <w:pageBreakBefore w:val="0"/>
        <w:widowControl/>
        <w:numPr>
          <w:ilvl w:val="255"/>
          <w:numId w:val="0"/>
        </w:numPr>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highlight w:val="none"/>
        </w:rPr>
        <w:t>9.2 初步审查结束后，评选小组将评审结论向竞争谈判申请人当场宣布。通过初步审查的申请人不足2家的，本次竞争谈判活动终止。</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9.3评选小组与通过初步审查的竞争谈判申请人分别进行谈判，谈判顺序以</w:t>
      </w:r>
      <w:r>
        <w:rPr>
          <w:rFonts w:hint="eastAsia" w:ascii="宋体" w:hAnsi="宋体" w:eastAsia="宋体" w:cs="宋体"/>
          <w:sz w:val="24"/>
          <w:lang w:val="en-US" w:eastAsia="zh-CN"/>
        </w:rPr>
        <w:t>抽签顺序</w:t>
      </w:r>
      <w:r>
        <w:rPr>
          <w:rFonts w:hint="eastAsia" w:ascii="宋体" w:hAnsi="宋体" w:eastAsia="宋体" w:cs="宋体"/>
          <w:sz w:val="24"/>
        </w:rPr>
        <w:t>在前者优先。</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 xml:space="preserve">9.4 评选小组所有成员集中与竞争谈判申请人对技术、商务等内容分别进行一轮或多轮的谈判。在谈判中，谈判的任何一方不得透露与谈判有关的其他申请人的技术资料、价格和其他信息。谈判内容为第3章中项目技术、商务要求。 </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9.5 谈判过程中，评选小组可以根据谈判情况变更谈判文件内容，将变更的内容书面通知参与谈判的申请人。</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9.6 谈判过程中，参与谈判的申请人可以根据谈判情况变更其申请文件，并将变更内容形成书面材料送评选小组。变更内容作为申请文件的一部分。供应商书面材料应当签字确认，否则无效。</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rPr>
      </w:pPr>
      <w:r>
        <w:rPr>
          <w:rFonts w:hint="eastAsia" w:ascii="宋体" w:hAnsi="宋体" w:eastAsia="宋体" w:cs="宋体"/>
          <w:sz w:val="24"/>
        </w:rPr>
        <w:t>9.7 谈判结束后，评选小组要求所有参与谈判的申请人在规定时间内提交最后报价。所有参与谈判的申请人填写最终报价单，由采购人代表收齐后集中递交评选小组。</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eastAsia="宋体" w:cs="宋体"/>
          <w:sz w:val="24"/>
          <w:highlight w:val="none"/>
        </w:rPr>
      </w:pPr>
      <w:r>
        <w:rPr>
          <w:rFonts w:hint="eastAsia" w:ascii="宋体" w:hAnsi="宋体" w:eastAsia="宋体" w:cs="宋体"/>
          <w:sz w:val="24"/>
        </w:rPr>
        <w:t>9.8 评审委员会对合格的申请人的申请文件及最终报价按详细评分标准进行量化评分，最后按</w:t>
      </w:r>
      <w:r>
        <w:rPr>
          <w:rFonts w:hint="eastAsia" w:ascii="宋体" w:hAnsi="宋体" w:eastAsia="宋体" w:cs="宋体"/>
          <w:sz w:val="24"/>
          <w:highlight w:val="none"/>
        </w:rPr>
        <w:t>综合得分由高到低依次排序前三名。以排名第一的为中选人。</w:t>
      </w:r>
    </w:p>
    <w:p>
      <w:pPr>
        <w:pStyle w:val="2"/>
        <w:adjustRightInd w:val="0"/>
        <w:snapToGrid w:val="0"/>
        <w:spacing w:after="0" w:line="360" w:lineRule="auto"/>
        <w:ind w:left="0" w:leftChars="0" w:firstLine="200" w:firstLineChars="0"/>
        <w:jc w:val="center"/>
        <w:rPr>
          <w:rFonts w:ascii="宋体" w:hAnsi="宋体" w:eastAsia="宋体"/>
          <w:b/>
          <w:sz w:val="24"/>
          <w:szCs w:val="24"/>
        </w:rPr>
      </w:pPr>
      <w:r>
        <w:rPr>
          <w:rFonts w:hint="eastAsia" w:ascii="宋体" w:hAnsi="宋体" w:eastAsia="宋体"/>
          <w:b/>
          <w:sz w:val="24"/>
          <w:szCs w:val="24"/>
        </w:rPr>
        <w:t>初步审查表</w:t>
      </w:r>
    </w:p>
    <w:tbl>
      <w:tblPr>
        <w:tblStyle w:val="21"/>
        <w:tblW w:w="88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119"/>
        <w:gridCol w:w="3260"/>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704" w:type="dxa"/>
            <w:vAlign w:val="center"/>
          </w:tcPr>
          <w:p>
            <w:pPr>
              <w:pStyle w:val="3"/>
              <w:tabs>
                <w:tab w:val="left" w:pos="600"/>
              </w:tabs>
              <w:adjustRightInd w:val="0"/>
              <w:snapToGrid w:val="0"/>
              <w:spacing w:after="0" w:line="360" w:lineRule="auto"/>
              <w:ind w:left="0" w:leftChars="0"/>
              <w:rPr>
                <w:rFonts w:ascii="宋体" w:hAnsi="宋体" w:eastAsia="宋体"/>
                <w:sz w:val="22"/>
                <w:szCs w:val="22"/>
              </w:rPr>
            </w:pPr>
            <w:r>
              <w:rPr>
                <w:rFonts w:hint="eastAsia" w:ascii="宋体" w:hAnsi="宋体" w:eastAsia="宋体"/>
                <w:sz w:val="22"/>
                <w:szCs w:val="22"/>
              </w:rPr>
              <w:t>序号</w:t>
            </w:r>
          </w:p>
        </w:tc>
        <w:tc>
          <w:tcPr>
            <w:tcW w:w="3119" w:type="dxa"/>
            <w:vAlign w:val="center"/>
          </w:tcPr>
          <w:p>
            <w:pPr>
              <w:adjustRightInd w:val="0"/>
              <w:snapToGrid w:val="0"/>
              <w:spacing w:line="360" w:lineRule="auto"/>
              <w:jc w:val="center"/>
              <w:rPr>
                <w:rFonts w:ascii="宋体" w:hAnsi="宋体" w:eastAsia="宋体"/>
                <w:b/>
                <w:sz w:val="22"/>
                <w:szCs w:val="22"/>
              </w:rPr>
            </w:pPr>
            <w:r>
              <w:rPr>
                <w:rFonts w:hint="eastAsia" w:ascii="宋体" w:hAnsi="宋体" w:eastAsia="宋体"/>
                <w:b/>
                <w:sz w:val="22"/>
                <w:szCs w:val="22"/>
              </w:rPr>
              <w:t>审查内容</w:t>
            </w:r>
          </w:p>
        </w:tc>
        <w:tc>
          <w:tcPr>
            <w:tcW w:w="3260" w:type="dxa"/>
            <w:vAlign w:val="center"/>
          </w:tcPr>
          <w:p>
            <w:pPr>
              <w:adjustRightInd w:val="0"/>
              <w:snapToGrid w:val="0"/>
              <w:spacing w:line="360" w:lineRule="auto"/>
              <w:jc w:val="center"/>
              <w:rPr>
                <w:rFonts w:ascii="宋体" w:hAnsi="宋体" w:eastAsia="宋体"/>
                <w:b/>
                <w:sz w:val="22"/>
                <w:szCs w:val="22"/>
              </w:rPr>
            </w:pPr>
            <w:r>
              <w:rPr>
                <w:rFonts w:hint="eastAsia" w:ascii="宋体" w:hAnsi="宋体" w:eastAsia="宋体"/>
                <w:b/>
                <w:sz w:val="22"/>
                <w:szCs w:val="22"/>
              </w:rPr>
              <w:t>合格条件</w:t>
            </w:r>
          </w:p>
        </w:tc>
        <w:tc>
          <w:tcPr>
            <w:tcW w:w="1728" w:type="dxa"/>
            <w:vAlign w:val="center"/>
          </w:tcPr>
          <w:p>
            <w:pPr>
              <w:adjustRightInd w:val="0"/>
              <w:snapToGrid w:val="0"/>
              <w:spacing w:line="360" w:lineRule="auto"/>
              <w:jc w:val="center"/>
              <w:rPr>
                <w:rFonts w:ascii="宋体" w:hAnsi="宋体" w:eastAsia="宋体"/>
                <w:b/>
                <w:sz w:val="22"/>
                <w:szCs w:val="22"/>
              </w:rPr>
            </w:pPr>
            <w:r>
              <w:rPr>
                <w:rFonts w:hint="eastAsia" w:ascii="宋体" w:hAnsi="宋体" w:eastAsia="宋体"/>
                <w:b/>
                <w:sz w:val="22"/>
                <w:szCs w:val="22"/>
              </w:rPr>
              <w:t>是否通过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3"/>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sz w:val="22"/>
                <w:szCs w:val="22"/>
              </w:rPr>
              <w:t>1</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营业执照</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独立法人资格，合法有效</w:t>
            </w:r>
          </w:p>
        </w:tc>
        <w:tc>
          <w:tcPr>
            <w:tcW w:w="1728" w:type="dxa"/>
            <w:vAlign w:val="center"/>
          </w:tcPr>
          <w:p>
            <w:pPr>
              <w:adjustRightInd w:val="0"/>
              <w:snapToGrid w:val="0"/>
              <w:spacing w:line="360" w:lineRule="auto"/>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3"/>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sz w:val="22"/>
                <w:szCs w:val="22"/>
              </w:rPr>
              <w:t>2</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业绩要求</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满足</w:t>
            </w:r>
            <w:r>
              <w:rPr>
                <w:rFonts w:hint="eastAsia" w:ascii="宋体" w:hAnsi="宋体" w:eastAsia="宋体"/>
                <w:sz w:val="22"/>
                <w:szCs w:val="22"/>
                <w:lang w:val="en-US" w:eastAsia="zh-CN"/>
              </w:rPr>
              <w:t>竞谈</w:t>
            </w:r>
            <w:r>
              <w:rPr>
                <w:rFonts w:hint="eastAsia" w:ascii="宋体" w:hAnsi="宋体" w:eastAsia="宋体"/>
                <w:sz w:val="22"/>
                <w:szCs w:val="22"/>
              </w:rPr>
              <w:t>文件要求。</w:t>
            </w:r>
          </w:p>
        </w:tc>
        <w:tc>
          <w:tcPr>
            <w:tcW w:w="1728" w:type="dxa"/>
            <w:vAlign w:val="center"/>
          </w:tcPr>
          <w:p>
            <w:pPr>
              <w:adjustRightInd w:val="0"/>
              <w:snapToGrid w:val="0"/>
              <w:spacing w:line="360" w:lineRule="auto"/>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3"/>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cs="宋体"/>
                <w:sz w:val="22"/>
                <w:szCs w:val="22"/>
              </w:rPr>
              <w:t>3</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信誉要求</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满足</w:t>
            </w:r>
            <w:r>
              <w:rPr>
                <w:rFonts w:hint="eastAsia" w:ascii="宋体" w:hAnsi="宋体" w:eastAsia="宋体"/>
                <w:sz w:val="22"/>
                <w:szCs w:val="22"/>
                <w:lang w:val="en-US" w:eastAsia="zh-CN"/>
              </w:rPr>
              <w:t>竞谈</w:t>
            </w:r>
            <w:r>
              <w:rPr>
                <w:rFonts w:hint="eastAsia" w:ascii="宋体" w:hAnsi="宋体" w:eastAsia="宋体"/>
                <w:sz w:val="22"/>
                <w:szCs w:val="22"/>
              </w:rPr>
              <w:t>文件要求。</w:t>
            </w:r>
          </w:p>
        </w:tc>
        <w:tc>
          <w:tcPr>
            <w:tcW w:w="1728" w:type="dxa"/>
            <w:vAlign w:val="center"/>
          </w:tcPr>
          <w:p>
            <w:pPr>
              <w:adjustRightInd w:val="0"/>
              <w:snapToGrid w:val="0"/>
              <w:spacing w:line="360" w:lineRule="auto"/>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3"/>
              <w:tabs>
                <w:tab w:val="left" w:pos="600"/>
              </w:tabs>
              <w:adjustRightInd w:val="0"/>
              <w:snapToGrid w:val="0"/>
              <w:spacing w:after="0" w:line="360" w:lineRule="auto"/>
              <w:ind w:left="0" w:leftChars="0"/>
              <w:jc w:val="center"/>
              <w:rPr>
                <w:rFonts w:hint="eastAsia" w:ascii="宋体" w:hAnsi="宋体" w:eastAsia="宋体"/>
                <w:sz w:val="22"/>
                <w:szCs w:val="22"/>
                <w:lang w:val="en-US" w:eastAsia="zh-CN"/>
              </w:rPr>
            </w:pPr>
            <w:r>
              <w:rPr>
                <w:rFonts w:hint="eastAsia" w:ascii="宋体" w:hAnsi="宋体" w:eastAsia="宋体"/>
                <w:sz w:val="22"/>
                <w:szCs w:val="22"/>
                <w:lang w:val="en-US" w:eastAsia="zh-CN"/>
              </w:rPr>
              <w:t>4</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签字、盖章</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满足</w:t>
            </w:r>
            <w:r>
              <w:rPr>
                <w:rFonts w:hint="eastAsia" w:ascii="宋体" w:hAnsi="宋体" w:eastAsia="宋体"/>
                <w:sz w:val="22"/>
                <w:szCs w:val="22"/>
                <w:lang w:val="en-US" w:eastAsia="zh-CN"/>
              </w:rPr>
              <w:t>竞谈</w:t>
            </w:r>
            <w:r>
              <w:rPr>
                <w:rFonts w:hint="eastAsia" w:ascii="宋体" w:hAnsi="宋体" w:eastAsia="宋体"/>
                <w:sz w:val="22"/>
                <w:szCs w:val="22"/>
              </w:rPr>
              <w:t>文件要求。</w:t>
            </w:r>
          </w:p>
        </w:tc>
        <w:tc>
          <w:tcPr>
            <w:tcW w:w="1728" w:type="dxa"/>
            <w:vAlign w:val="center"/>
          </w:tcPr>
          <w:p>
            <w:pPr>
              <w:adjustRightInd w:val="0"/>
              <w:snapToGrid w:val="0"/>
              <w:spacing w:line="360" w:lineRule="auto"/>
              <w:jc w:val="center"/>
              <w:rPr>
                <w:rFonts w:ascii="宋体" w:hAnsi="宋体" w:eastAsia="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3"/>
              <w:tabs>
                <w:tab w:val="left" w:pos="600"/>
              </w:tabs>
              <w:adjustRightInd w:val="0"/>
              <w:snapToGrid w:val="0"/>
              <w:spacing w:after="0" w:line="360" w:lineRule="auto"/>
              <w:ind w:left="0" w:leftChars="0"/>
              <w:jc w:val="center"/>
              <w:rPr>
                <w:rFonts w:hint="eastAsia" w:ascii="宋体" w:hAnsi="宋体" w:eastAsia="宋体"/>
                <w:sz w:val="22"/>
                <w:szCs w:val="22"/>
                <w:lang w:val="en-US" w:eastAsia="zh-CN"/>
              </w:rPr>
            </w:pPr>
            <w:r>
              <w:rPr>
                <w:rFonts w:hint="eastAsia" w:ascii="宋体" w:hAnsi="宋体" w:eastAsia="宋体"/>
                <w:sz w:val="22"/>
                <w:szCs w:val="22"/>
                <w:lang w:val="en-US" w:eastAsia="zh-CN"/>
              </w:rPr>
              <w:t>5</w:t>
            </w:r>
          </w:p>
        </w:tc>
        <w:tc>
          <w:tcPr>
            <w:tcW w:w="3119"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报价</w:t>
            </w:r>
          </w:p>
        </w:tc>
        <w:tc>
          <w:tcPr>
            <w:tcW w:w="3260" w:type="dxa"/>
            <w:vAlign w:val="center"/>
          </w:tcPr>
          <w:p>
            <w:pPr>
              <w:adjustRightInd w:val="0"/>
              <w:snapToGrid w:val="0"/>
              <w:spacing w:line="360" w:lineRule="auto"/>
              <w:jc w:val="center"/>
              <w:rPr>
                <w:rFonts w:ascii="宋体" w:hAnsi="宋体" w:eastAsia="宋体"/>
                <w:sz w:val="22"/>
                <w:szCs w:val="22"/>
              </w:rPr>
            </w:pPr>
            <w:r>
              <w:rPr>
                <w:rFonts w:hint="eastAsia" w:ascii="宋体" w:hAnsi="宋体" w:eastAsia="宋体"/>
                <w:sz w:val="22"/>
                <w:szCs w:val="22"/>
              </w:rPr>
              <w:t>报价唯一且不高于最高限价</w:t>
            </w:r>
          </w:p>
        </w:tc>
        <w:tc>
          <w:tcPr>
            <w:tcW w:w="1728" w:type="dxa"/>
            <w:vAlign w:val="center"/>
          </w:tcPr>
          <w:p>
            <w:pPr>
              <w:pStyle w:val="3"/>
              <w:tabs>
                <w:tab w:val="left" w:pos="600"/>
              </w:tabs>
              <w:adjustRightInd w:val="0"/>
              <w:snapToGrid w:val="0"/>
              <w:spacing w:after="0" w:line="360" w:lineRule="auto"/>
              <w:ind w:left="0" w:leftChars="0"/>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04" w:type="dxa"/>
            <w:vAlign w:val="center"/>
          </w:tcPr>
          <w:p>
            <w:pPr>
              <w:pStyle w:val="3"/>
              <w:tabs>
                <w:tab w:val="left" w:pos="600"/>
              </w:tabs>
              <w:adjustRightInd w:val="0"/>
              <w:snapToGrid w:val="0"/>
              <w:spacing w:after="0" w:line="360" w:lineRule="auto"/>
              <w:ind w:left="0" w:leftChars="0"/>
              <w:jc w:val="center"/>
              <w:rPr>
                <w:rFonts w:hint="eastAsia" w:ascii="宋体" w:hAnsi="宋体" w:eastAsia="宋体"/>
                <w:sz w:val="22"/>
                <w:szCs w:val="22"/>
                <w:lang w:val="en-US" w:eastAsia="zh-CN"/>
              </w:rPr>
            </w:pPr>
            <w:r>
              <w:rPr>
                <w:rFonts w:hint="eastAsia" w:ascii="宋体" w:hAnsi="宋体" w:eastAsia="宋体"/>
                <w:sz w:val="22"/>
                <w:szCs w:val="22"/>
                <w:lang w:val="en-US" w:eastAsia="zh-CN"/>
              </w:rPr>
              <w:t>6</w:t>
            </w:r>
          </w:p>
        </w:tc>
        <w:tc>
          <w:tcPr>
            <w:tcW w:w="3119" w:type="dxa"/>
            <w:vAlign w:val="center"/>
          </w:tcPr>
          <w:p>
            <w:pPr>
              <w:adjustRightInd w:val="0"/>
              <w:snapToGrid w:val="0"/>
              <w:spacing w:line="360" w:lineRule="auto"/>
              <w:jc w:val="center"/>
              <w:rPr>
                <w:rFonts w:ascii="宋体" w:hAnsi="宋体" w:eastAsia="宋体"/>
                <w:sz w:val="22"/>
                <w:szCs w:val="22"/>
              </w:rPr>
            </w:pPr>
            <w:r>
              <w:rPr>
                <w:rFonts w:ascii="宋体" w:hAnsi="宋体" w:eastAsia="宋体" w:cs="宋体"/>
                <w:sz w:val="22"/>
                <w:szCs w:val="22"/>
              </w:rPr>
              <w:t>不存在</w:t>
            </w:r>
            <w:r>
              <w:rPr>
                <w:rFonts w:hint="eastAsia" w:ascii="宋体" w:hAnsi="宋体" w:eastAsia="宋体" w:cs="宋体"/>
                <w:sz w:val="22"/>
                <w:szCs w:val="22"/>
              </w:rPr>
              <w:t>限制申请的情形</w:t>
            </w:r>
          </w:p>
        </w:tc>
        <w:tc>
          <w:tcPr>
            <w:tcW w:w="3260" w:type="dxa"/>
            <w:vAlign w:val="center"/>
          </w:tcPr>
          <w:p>
            <w:pPr>
              <w:adjustRightInd w:val="0"/>
              <w:snapToGrid w:val="0"/>
              <w:spacing w:line="360" w:lineRule="auto"/>
              <w:jc w:val="center"/>
              <w:rPr>
                <w:rFonts w:ascii="宋体" w:hAnsi="宋体" w:eastAsia="宋体"/>
                <w:sz w:val="22"/>
                <w:szCs w:val="22"/>
              </w:rPr>
            </w:pPr>
            <w:r>
              <w:rPr>
                <w:rFonts w:ascii="宋体" w:hAnsi="宋体" w:eastAsia="宋体" w:cs="宋体"/>
                <w:sz w:val="22"/>
                <w:szCs w:val="22"/>
              </w:rPr>
              <w:t>不存在</w:t>
            </w:r>
            <w:r>
              <w:rPr>
                <w:rFonts w:hint="eastAsia" w:ascii="宋体" w:hAnsi="宋体" w:eastAsia="宋体" w:cs="宋体"/>
                <w:sz w:val="22"/>
                <w:szCs w:val="22"/>
              </w:rPr>
              <w:t>第二章竞争谈判须知第7</w:t>
            </w:r>
            <w:r>
              <w:rPr>
                <w:rFonts w:ascii="宋体" w:hAnsi="宋体" w:eastAsia="宋体" w:cs="宋体"/>
                <w:sz w:val="22"/>
                <w:szCs w:val="22"/>
              </w:rPr>
              <w:t>项规定的任何一种情形</w:t>
            </w:r>
          </w:p>
        </w:tc>
        <w:tc>
          <w:tcPr>
            <w:tcW w:w="1728" w:type="dxa"/>
            <w:vAlign w:val="center"/>
          </w:tcPr>
          <w:p>
            <w:pPr>
              <w:pStyle w:val="3"/>
              <w:tabs>
                <w:tab w:val="left" w:pos="600"/>
              </w:tabs>
              <w:adjustRightInd w:val="0"/>
              <w:snapToGrid w:val="0"/>
              <w:spacing w:after="0" w:line="360" w:lineRule="auto"/>
              <w:ind w:left="0" w:leftChars="0"/>
              <w:jc w:val="center"/>
              <w:rPr>
                <w:rFonts w:ascii="宋体" w:hAnsi="宋体" w:eastAsia="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3823" w:type="dxa"/>
            <w:gridSpan w:val="2"/>
            <w:vAlign w:val="center"/>
          </w:tcPr>
          <w:p>
            <w:pPr>
              <w:pStyle w:val="3"/>
              <w:tabs>
                <w:tab w:val="left" w:pos="600"/>
              </w:tabs>
              <w:adjustRightInd w:val="0"/>
              <w:snapToGrid w:val="0"/>
              <w:spacing w:after="0" w:line="360" w:lineRule="auto"/>
              <w:ind w:left="0" w:leftChars="0"/>
              <w:jc w:val="center"/>
              <w:rPr>
                <w:rFonts w:ascii="宋体" w:hAnsi="宋体" w:eastAsia="宋体"/>
                <w:sz w:val="22"/>
                <w:szCs w:val="22"/>
              </w:rPr>
            </w:pPr>
            <w:r>
              <w:rPr>
                <w:rFonts w:hint="eastAsia" w:ascii="宋体" w:hAnsi="宋体" w:eastAsia="宋体"/>
                <w:sz w:val="22"/>
                <w:szCs w:val="22"/>
              </w:rPr>
              <w:t>结论（应填写“通过”或“不通过”）</w:t>
            </w:r>
          </w:p>
        </w:tc>
        <w:tc>
          <w:tcPr>
            <w:tcW w:w="3260" w:type="dxa"/>
            <w:vAlign w:val="center"/>
          </w:tcPr>
          <w:p>
            <w:pPr>
              <w:pStyle w:val="3"/>
              <w:tabs>
                <w:tab w:val="left" w:pos="600"/>
              </w:tabs>
              <w:adjustRightInd w:val="0"/>
              <w:snapToGrid w:val="0"/>
              <w:spacing w:after="0" w:line="360" w:lineRule="auto"/>
              <w:ind w:left="0" w:leftChars="0"/>
              <w:jc w:val="center"/>
              <w:rPr>
                <w:rFonts w:ascii="宋体" w:hAnsi="宋体" w:eastAsia="宋体"/>
                <w:sz w:val="22"/>
                <w:szCs w:val="22"/>
              </w:rPr>
            </w:pPr>
          </w:p>
        </w:tc>
        <w:tc>
          <w:tcPr>
            <w:tcW w:w="1728" w:type="dxa"/>
            <w:vAlign w:val="center"/>
          </w:tcPr>
          <w:p>
            <w:pPr>
              <w:pStyle w:val="3"/>
              <w:tabs>
                <w:tab w:val="left" w:pos="600"/>
              </w:tabs>
              <w:adjustRightInd w:val="0"/>
              <w:snapToGrid w:val="0"/>
              <w:spacing w:after="0" w:line="360" w:lineRule="auto"/>
              <w:ind w:left="0" w:leftChars="0"/>
              <w:jc w:val="center"/>
              <w:rPr>
                <w:rFonts w:ascii="宋体" w:hAnsi="宋体" w:eastAsia="宋体"/>
                <w:sz w:val="22"/>
                <w:szCs w:val="22"/>
              </w:rPr>
            </w:pPr>
          </w:p>
        </w:tc>
      </w:tr>
    </w:tbl>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注</w:t>
      </w:r>
      <w:r>
        <w:rPr>
          <w:rFonts w:ascii="宋体" w:hAnsi="宋体" w:eastAsia="宋体" w:cs="宋体"/>
          <w:sz w:val="24"/>
        </w:rPr>
        <w:t>：</w:t>
      </w:r>
      <w:r>
        <w:rPr>
          <w:rFonts w:hint="eastAsia" w:ascii="宋体" w:hAnsi="宋体" w:eastAsia="宋体" w:cs="宋体"/>
          <w:sz w:val="24"/>
        </w:rPr>
        <w:t>初步审查结论为“通过”与“不通过”。 初步审查实行强制性合格评审，凡有一项不合格则不能通过。初步审查未通过的不再进入下一步评审程序。</w:t>
      </w:r>
    </w:p>
    <w:p>
      <w:pPr>
        <w:pStyle w:val="2"/>
        <w:adjustRightInd w:val="0"/>
        <w:snapToGrid w:val="0"/>
        <w:spacing w:after="0" w:line="360" w:lineRule="auto"/>
        <w:ind w:left="0" w:leftChars="0" w:firstLine="200" w:firstLineChars="0"/>
        <w:jc w:val="center"/>
        <w:rPr>
          <w:rFonts w:ascii="宋体" w:hAnsi="宋体" w:eastAsia="宋体" w:cs="宋体"/>
          <w:b/>
          <w:sz w:val="24"/>
          <w:szCs w:val="24"/>
        </w:rPr>
      </w:pPr>
      <w:r>
        <w:rPr>
          <w:rFonts w:hint="eastAsia" w:ascii="宋体" w:hAnsi="宋体" w:eastAsia="宋体" w:cs="宋体"/>
          <w:b/>
          <w:sz w:val="24"/>
          <w:szCs w:val="24"/>
        </w:rPr>
        <w:t>评分明细表</w:t>
      </w:r>
    </w:p>
    <w:tbl>
      <w:tblPr>
        <w:tblStyle w:val="21"/>
        <w:tblW w:w="9794" w:type="dxa"/>
        <w:jc w:val="center"/>
        <w:tblLayout w:type="fixed"/>
        <w:tblCellMar>
          <w:top w:w="0" w:type="dxa"/>
          <w:left w:w="108" w:type="dxa"/>
          <w:bottom w:w="0" w:type="dxa"/>
          <w:right w:w="108" w:type="dxa"/>
        </w:tblCellMar>
      </w:tblPr>
      <w:tblGrid>
        <w:gridCol w:w="477"/>
        <w:gridCol w:w="1244"/>
        <w:gridCol w:w="1297"/>
        <w:gridCol w:w="4970"/>
        <w:gridCol w:w="1806"/>
      </w:tblGrid>
      <w:tr>
        <w:tblPrEx>
          <w:tblCellMar>
            <w:top w:w="0" w:type="dxa"/>
            <w:left w:w="108" w:type="dxa"/>
            <w:bottom w:w="0" w:type="dxa"/>
            <w:right w:w="108" w:type="dxa"/>
          </w:tblCellMar>
        </w:tblPrEx>
        <w:trPr>
          <w:cantSplit/>
          <w:trHeight w:val="330" w:hRule="atLeast"/>
          <w:jc w:val="center"/>
        </w:trPr>
        <w:tc>
          <w:tcPr>
            <w:tcW w:w="477" w:type="dxa"/>
            <w:tcBorders>
              <w:top w:val="double" w:color="auto" w:sz="2"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b/>
                <w:sz w:val="22"/>
                <w:szCs w:val="22"/>
              </w:rPr>
            </w:pPr>
            <w:r>
              <w:rPr>
                <w:rFonts w:hint="eastAsia" w:ascii="宋体" w:hAnsi="宋体" w:eastAsia="宋体" w:cs="Songti SC Regular"/>
                <w:b/>
                <w:kern w:val="0"/>
                <w:sz w:val="22"/>
                <w:szCs w:val="22"/>
                <w:lang w:bidi="ar"/>
              </w:rPr>
              <w:t>序号</w:t>
            </w:r>
          </w:p>
        </w:tc>
        <w:tc>
          <w:tcPr>
            <w:tcW w:w="1244" w:type="dxa"/>
            <w:tcBorders>
              <w:top w:val="double" w:color="auto" w:sz="2" w:space="0"/>
              <w:left w:val="nil"/>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b/>
                <w:sz w:val="22"/>
                <w:szCs w:val="22"/>
              </w:rPr>
            </w:pPr>
            <w:r>
              <w:rPr>
                <w:rFonts w:hint="eastAsia" w:ascii="宋体" w:hAnsi="宋体" w:eastAsia="宋体" w:cs="Songti SC Regular"/>
                <w:b/>
                <w:kern w:val="0"/>
                <w:sz w:val="22"/>
                <w:szCs w:val="22"/>
                <w:lang w:bidi="ar"/>
              </w:rPr>
              <w:t>评分因素</w:t>
            </w:r>
          </w:p>
          <w:p>
            <w:pPr>
              <w:adjustRightInd w:val="0"/>
              <w:snapToGrid w:val="0"/>
              <w:spacing w:line="360" w:lineRule="auto"/>
              <w:jc w:val="center"/>
              <w:rPr>
                <w:rFonts w:ascii="宋体" w:hAnsi="宋体" w:eastAsia="宋体" w:cs="Songti SC Regular"/>
                <w:b/>
                <w:sz w:val="22"/>
                <w:szCs w:val="22"/>
              </w:rPr>
            </w:pPr>
            <w:r>
              <w:rPr>
                <w:rFonts w:hint="eastAsia" w:ascii="宋体" w:hAnsi="宋体" w:eastAsia="宋体" w:cs="Songti SC Regular"/>
                <w:b/>
                <w:kern w:val="0"/>
                <w:sz w:val="22"/>
                <w:szCs w:val="22"/>
                <w:lang w:bidi="ar"/>
              </w:rPr>
              <w:t>及 权 重</w:t>
            </w:r>
          </w:p>
        </w:tc>
        <w:tc>
          <w:tcPr>
            <w:tcW w:w="1297" w:type="dxa"/>
            <w:tcBorders>
              <w:top w:val="double" w:color="auto" w:sz="2" w:space="0"/>
              <w:left w:val="nil"/>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b/>
                <w:sz w:val="22"/>
                <w:szCs w:val="22"/>
              </w:rPr>
            </w:pPr>
            <w:r>
              <w:rPr>
                <w:rFonts w:hint="eastAsia" w:ascii="宋体" w:hAnsi="宋体" w:eastAsia="宋体" w:cs="Songti SC Regular"/>
                <w:b/>
                <w:kern w:val="0"/>
                <w:sz w:val="22"/>
                <w:szCs w:val="22"/>
                <w:lang w:bidi="ar"/>
              </w:rPr>
              <w:t>分值</w:t>
            </w:r>
          </w:p>
        </w:tc>
        <w:tc>
          <w:tcPr>
            <w:tcW w:w="4970" w:type="dxa"/>
            <w:tcBorders>
              <w:top w:val="double" w:color="auto" w:sz="2" w:space="0"/>
              <w:left w:val="nil"/>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b/>
                <w:sz w:val="22"/>
                <w:szCs w:val="22"/>
              </w:rPr>
            </w:pPr>
            <w:r>
              <w:rPr>
                <w:rFonts w:hint="eastAsia" w:ascii="宋体" w:hAnsi="宋体" w:eastAsia="宋体" w:cs="Songti SC Regular"/>
                <w:b/>
                <w:kern w:val="0"/>
                <w:sz w:val="22"/>
                <w:szCs w:val="22"/>
                <w:lang w:bidi="ar"/>
              </w:rPr>
              <w:t>评 分 标 准</w:t>
            </w:r>
          </w:p>
        </w:tc>
        <w:tc>
          <w:tcPr>
            <w:tcW w:w="1806" w:type="dxa"/>
            <w:tcBorders>
              <w:top w:val="double" w:color="auto" w:sz="2" w:space="0"/>
              <w:left w:val="nil"/>
              <w:bottom w:val="single" w:color="auto" w:sz="4" w:space="0"/>
              <w:right w:val="double" w:color="auto" w:sz="2" w:space="0"/>
            </w:tcBorders>
            <w:vAlign w:val="center"/>
          </w:tcPr>
          <w:p>
            <w:pPr>
              <w:adjustRightInd w:val="0"/>
              <w:snapToGrid w:val="0"/>
              <w:spacing w:line="360" w:lineRule="auto"/>
              <w:jc w:val="center"/>
              <w:rPr>
                <w:rFonts w:ascii="宋体" w:hAnsi="宋体" w:eastAsia="宋体" w:cs="Songti SC Regular"/>
                <w:b/>
                <w:sz w:val="22"/>
                <w:szCs w:val="22"/>
              </w:rPr>
            </w:pPr>
            <w:r>
              <w:rPr>
                <w:rFonts w:hint="eastAsia" w:ascii="宋体" w:hAnsi="宋体" w:eastAsia="宋体" w:cs="Songti SC Regular"/>
                <w:b/>
                <w:kern w:val="0"/>
                <w:sz w:val="22"/>
                <w:szCs w:val="22"/>
                <w:lang w:bidi="ar"/>
              </w:rPr>
              <w:t>说    明</w:t>
            </w:r>
          </w:p>
        </w:tc>
      </w:tr>
      <w:tr>
        <w:tblPrEx>
          <w:tblCellMar>
            <w:top w:w="0" w:type="dxa"/>
            <w:left w:w="108" w:type="dxa"/>
            <w:bottom w:w="0" w:type="dxa"/>
            <w:right w:w="108" w:type="dxa"/>
          </w:tblCellMar>
        </w:tblPrEx>
        <w:trPr>
          <w:cantSplit/>
          <w:trHeight w:val="918" w:hRule="atLeast"/>
          <w:jc w:val="center"/>
        </w:trPr>
        <w:tc>
          <w:tcPr>
            <w:tcW w:w="477" w:type="dxa"/>
            <w:tcBorders>
              <w:top w:val="double" w:color="auto" w:sz="2"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sz w:val="22"/>
                <w:szCs w:val="22"/>
              </w:rPr>
            </w:pPr>
            <w:r>
              <w:rPr>
                <w:rFonts w:hint="eastAsia" w:ascii="宋体" w:hAnsi="宋体" w:eastAsia="宋体" w:cs="Songti SC Regular"/>
                <w:kern w:val="0"/>
                <w:sz w:val="22"/>
                <w:szCs w:val="22"/>
                <w:lang w:bidi="ar"/>
              </w:rPr>
              <w:t>1</w:t>
            </w:r>
          </w:p>
        </w:tc>
        <w:tc>
          <w:tcPr>
            <w:tcW w:w="1244" w:type="dxa"/>
            <w:tcBorders>
              <w:top w:val="double" w:color="auto" w:sz="2" w:space="0"/>
              <w:left w:val="nil"/>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sz w:val="22"/>
                <w:szCs w:val="22"/>
              </w:rPr>
            </w:pPr>
            <w:r>
              <w:rPr>
                <w:rFonts w:hint="eastAsia" w:ascii="宋体" w:hAnsi="宋体" w:eastAsia="宋体" w:cs="Songti SC Regular"/>
                <w:sz w:val="22"/>
                <w:szCs w:val="22"/>
              </w:rPr>
              <w:t>报价</w:t>
            </w:r>
          </w:p>
        </w:tc>
        <w:tc>
          <w:tcPr>
            <w:tcW w:w="1297" w:type="dxa"/>
            <w:tcBorders>
              <w:top w:val="double" w:color="auto" w:sz="2" w:space="0"/>
              <w:left w:val="nil"/>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sz w:val="22"/>
                <w:szCs w:val="22"/>
              </w:rPr>
            </w:pPr>
            <w:r>
              <w:rPr>
                <w:rFonts w:hint="eastAsia" w:ascii="宋体" w:hAnsi="宋体" w:eastAsia="宋体" w:cs="Songti SC Regular"/>
                <w:sz w:val="22"/>
                <w:szCs w:val="22"/>
                <w:lang w:val="en-US" w:eastAsia="zh-CN"/>
              </w:rPr>
              <w:t>3</w:t>
            </w:r>
            <w:r>
              <w:rPr>
                <w:rFonts w:ascii="宋体" w:hAnsi="宋体" w:eastAsia="宋体" w:cs="Songti SC Regular"/>
                <w:sz w:val="22"/>
                <w:szCs w:val="22"/>
              </w:rPr>
              <w:t>0</w:t>
            </w:r>
            <w:r>
              <w:rPr>
                <w:rFonts w:hint="eastAsia" w:ascii="宋体" w:hAnsi="宋体" w:eastAsia="宋体" w:cs="Songti SC Regular"/>
                <w:sz w:val="22"/>
                <w:szCs w:val="22"/>
                <w:lang w:eastAsia="zh-Hans"/>
              </w:rPr>
              <w:t>分</w:t>
            </w:r>
          </w:p>
        </w:tc>
        <w:tc>
          <w:tcPr>
            <w:tcW w:w="4970" w:type="dxa"/>
            <w:tcBorders>
              <w:top w:val="double" w:color="auto" w:sz="2" w:space="0"/>
              <w:left w:val="nil"/>
              <w:bottom w:val="single" w:color="auto" w:sz="4" w:space="0"/>
              <w:right w:val="single" w:color="auto" w:sz="4" w:space="0"/>
            </w:tcBorders>
            <w:vAlign w:val="center"/>
          </w:tcPr>
          <w:p>
            <w:pPr>
              <w:adjustRightInd w:val="0"/>
              <w:snapToGrid w:val="0"/>
              <w:spacing w:line="360" w:lineRule="auto"/>
              <w:rPr>
                <w:rFonts w:ascii="宋体" w:hAnsi="宋体" w:eastAsia="宋体" w:cs="Songti SC Regular"/>
                <w:sz w:val="22"/>
                <w:szCs w:val="22"/>
              </w:rPr>
            </w:pPr>
            <w:r>
              <w:rPr>
                <w:rFonts w:hint="eastAsia" w:ascii="宋体" w:hAnsi="宋体" w:eastAsia="宋体" w:cs="Songti SC Regular"/>
                <w:sz w:val="22"/>
                <w:szCs w:val="22"/>
              </w:rPr>
              <w:t>1、采用有效报价的算术平均值为评标基准价，计算公式为：</w:t>
            </w:r>
          </w:p>
          <w:p>
            <w:pPr>
              <w:adjustRightInd w:val="0"/>
              <w:snapToGrid w:val="0"/>
              <w:spacing w:line="360" w:lineRule="auto"/>
              <w:rPr>
                <w:rFonts w:ascii="宋体" w:hAnsi="宋体" w:eastAsia="宋体" w:cs="Songti SC Regular"/>
                <w:sz w:val="22"/>
                <w:szCs w:val="22"/>
              </w:rPr>
            </w:pPr>
            <w:r>
              <w:rPr>
                <w:rFonts w:hint="eastAsia" w:ascii="宋体" w:hAnsi="宋体" w:eastAsia="宋体" w:cs="Songti SC Regular"/>
                <w:sz w:val="22"/>
                <w:szCs w:val="22"/>
              </w:rPr>
              <w:t>S（评标基准价）= （a1 +……+an）/n，a为有效的投标报价。</w:t>
            </w:r>
          </w:p>
          <w:p>
            <w:pPr>
              <w:adjustRightInd w:val="0"/>
              <w:snapToGrid w:val="0"/>
              <w:spacing w:line="360" w:lineRule="auto"/>
              <w:rPr>
                <w:rFonts w:ascii="宋体" w:hAnsi="宋体" w:eastAsia="宋体" w:cs="Songti SC Regular"/>
                <w:sz w:val="22"/>
                <w:szCs w:val="22"/>
              </w:rPr>
            </w:pPr>
            <w:r>
              <w:rPr>
                <w:rFonts w:hint="eastAsia" w:ascii="宋体" w:hAnsi="宋体" w:eastAsia="宋体" w:cs="Songti SC Regular"/>
                <w:sz w:val="22"/>
                <w:szCs w:val="22"/>
              </w:rPr>
              <w:t>2、偏差率=100% ×︱（投标人报价-评标基准价）︱/评标基准价</w:t>
            </w:r>
          </w:p>
          <w:p>
            <w:pPr>
              <w:adjustRightInd w:val="0"/>
              <w:snapToGrid w:val="0"/>
              <w:spacing w:line="360" w:lineRule="auto"/>
              <w:rPr>
                <w:rFonts w:ascii="宋体" w:hAnsi="宋体" w:eastAsia="宋体" w:cs="Songti SC Regular"/>
                <w:sz w:val="22"/>
                <w:szCs w:val="22"/>
              </w:rPr>
            </w:pPr>
            <w:r>
              <w:rPr>
                <w:rFonts w:hint="eastAsia" w:ascii="宋体" w:hAnsi="宋体" w:eastAsia="宋体" w:cs="Songti SC Regular"/>
                <w:sz w:val="22"/>
                <w:szCs w:val="22"/>
              </w:rPr>
              <w:t>3、以基准价为准，有效投标的评审价等于基准价的得满分，有效投标的评审价低于基准价的，每低1%扣0.2分，有效投标的评审价高于基准价的，每高1%扣0.4分，中间值用插入法进行计算，小数点后保留两位。</w:t>
            </w:r>
          </w:p>
        </w:tc>
        <w:tc>
          <w:tcPr>
            <w:tcW w:w="1806" w:type="dxa"/>
            <w:tcBorders>
              <w:top w:val="double" w:color="auto" w:sz="2" w:space="0"/>
              <w:left w:val="nil"/>
              <w:bottom w:val="single" w:color="auto" w:sz="4" w:space="0"/>
              <w:right w:val="double" w:color="auto" w:sz="2" w:space="0"/>
            </w:tcBorders>
            <w:vAlign w:val="center"/>
          </w:tcPr>
          <w:p>
            <w:pPr>
              <w:adjustRightInd w:val="0"/>
              <w:snapToGrid w:val="0"/>
              <w:spacing w:line="360" w:lineRule="auto"/>
              <w:rPr>
                <w:rFonts w:ascii="宋体" w:hAnsi="宋体" w:eastAsia="宋体" w:cs="Songti SC Regular"/>
                <w:sz w:val="22"/>
                <w:szCs w:val="22"/>
              </w:rPr>
            </w:pPr>
          </w:p>
        </w:tc>
      </w:tr>
      <w:tr>
        <w:tblPrEx>
          <w:tblCellMar>
            <w:top w:w="0" w:type="dxa"/>
            <w:left w:w="108" w:type="dxa"/>
            <w:bottom w:w="0" w:type="dxa"/>
            <w:right w:w="108" w:type="dxa"/>
          </w:tblCellMar>
        </w:tblPrEx>
        <w:trPr>
          <w:cantSplit/>
          <w:trHeight w:val="914" w:hRule="atLeast"/>
          <w:jc w:val="center"/>
        </w:trPr>
        <w:tc>
          <w:tcPr>
            <w:tcW w:w="477" w:type="dxa"/>
            <w:tcBorders>
              <w:top w:val="single" w:color="auto" w:sz="4"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sz w:val="22"/>
                <w:szCs w:val="22"/>
              </w:rPr>
            </w:pPr>
            <w:r>
              <w:rPr>
                <w:rFonts w:hint="eastAsia" w:ascii="宋体" w:hAnsi="宋体" w:eastAsia="宋体" w:cs="Songti SC Regular"/>
                <w:kern w:val="0"/>
                <w:sz w:val="22"/>
                <w:szCs w:val="22"/>
                <w:lang w:bidi="ar"/>
              </w:rPr>
              <w:t>2</w:t>
            </w:r>
          </w:p>
        </w:tc>
        <w:tc>
          <w:tcPr>
            <w:tcW w:w="1244" w:type="dxa"/>
            <w:vMerge w:val="restart"/>
            <w:tcBorders>
              <w:top w:val="single" w:color="auto" w:sz="4" w:space="0"/>
              <w:left w:val="nil"/>
              <w:right w:val="single" w:color="auto" w:sz="4" w:space="0"/>
            </w:tcBorders>
            <w:vAlign w:val="center"/>
          </w:tcPr>
          <w:p>
            <w:pPr>
              <w:spacing w:line="240" w:lineRule="atLeast"/>
              <w:jc w:val="center"/>
              <w:rPr>
                <w:rFonts w:ascii="Songti SC Regular" w:hAnsi="Songti SC Regular" w:eastAsia="Songti SC Regular" w:cs="Songti SC Regular"/>
                <w:color w:val="auto"/>
                <w:sz w:val="24"/>
                <w:szCs w:val="24"/>
                <w:highlight w:val="none"/>
              </w:rPr>
            </w:pPr>
            <w:r>
              <w:rPr>
                <w:rFonts w:hint="eastAsia" w:ascii="Songti SC Regular" w:hAnsi="Songti SC Regular" w:eastAsia="Songti SC Regular" w:cs="Songti SC Regular"/>
                <w:color w:val="auto"/>
                <w:sz w:val="24"/>
                <w:szCs w:val="24"/>
                <w:highlight w:val="none"/>
              </w:rPr>
              <w:t>实施方案</w:t>
            </w:r>
          </w:p>
          <w:p>
            <w:pPr>
              <w:pStyle w:val="9"/>
              <w:adjustRightInd w:val="0"/>
              <w:snapToGrid w:val="0"/>
              <w:spacing w:after="0" w:line="360" w:lineRule="auto"/>
              <w:rPr>
                <w:rFonts w:ascii="宋体" w:hAnsi="宋体" w:eastAsia="宋体" w:cs="Songti SC Regular"/>
                <w:sz w:val="22"/>
                <w:szCs w:val="22"/>
                <w:lang w:eastAsia="zh-Hans"/>
              </w:rPr>
            </w:pPr>
          </w:p>
        </w:tc>
        <w:tc>
          <w:tcPr>
            <w:tcW w:w="1297" w:type="dxa"/>
            <w:tcBorders>
              <w:top w:val="single" w:color="auto" w:sz="4" w:space="0"/>
              <w:left w:val="nil"/>
              <w:bottom w:val="single" w:color="auto" w:sz="4" w:space="0"/>
              <w:right w:val="single" w:color="auto" w:sz="4" w:space="0"/>
            </w:tcBorders>
            <w:vAlign w:val="center"/>
          </w:tcPr>
          <w:p>
            <w:pPr>
              <w:pStyle w:val="10"/>
              <w:adjustRightInd w:val="0"/>
              <w:snapToGrid w:val="0"/>
              <w:spacing w:line="360" w:lineRule="auto"/>
              <w:jc w:val="left"/>
              <w:rPr>
                <w:rFonts w:hAnsi="宋体" w:eastAsia="宋体" w:cs="Songti SC Regular"/>
                <w:sz w:val="22"/>
                <w:szCs w:val="22"/>
              </w:rPr>
            </w:pPr>
            <w:r>
              <w:rPr>
                <w:rFonts w:hint="eastAsia" w:ascii="Songti SC Regular" w:hAnsi="Songti SC Regular" w:eastAsia="Songti SC Regular" w:cs="Songti SC Regular"/>
                <w:color w:val="auto"/>
                <w:sz w:val="24"/>
                <w:szCs w:val="24"/>
                <w:highlight w:val="none"/>
              </w:rPr>
              <w:t>现状分析（</w:t>
            </w:r>
            <w:r>
              <w:rPr>
                <w:rFonts w:hint="eastAsia" w:ascii="Songti SC Regular" w:hAnsi="Songti SC Regular" w:eastAsia="Songti SC Regular" w:cs="Songti SC Regular"/>
                <w:color w:val="auto"/>
                <w:sz w:val="24"/>
                <w:szCs w:val="24"/>
                <w:highlight w:val="none"/>
                <w:lang w:val="en-US" w:eastAsia="zh-CN"/>
              </w:rPr>
              <w:t>30</w:t>
            </w:r>
            <w:r>
              <w:rPr>
                <w:rFonts w:hint="eastAsia" w:ascii="Songti SC Regular" w:hAnsi="Songti SC Regular" w:eastAsia="Songti SC Regular" w:cs="Songti SC Regular"/>
                <w:color w:val="auto"/>
                <w:sz w:val="24"/>
                <w:szCs w:val="24"/>
                <w:highlight w:val="none"/>
              </w:rPr>
              <w:t>分</w:t>
            </w:r>
            <w:r>
              <w:rPr>
                <w:rFonts w:hint="eastAsia" w:hAnsi="宋体" w:eastAsia="宋体" w:cs="Songti SC Regular"/>
                <w:sz w:val="22"/>
                <w:szCs w:val="22"/>
              </w:rPr>
              <w:t>）</w:t>
            </w:r>
          </w:p>
        </w:tc>
        <w:tc>
          <w:tcPr>
            <w:tcW w:w="4970" w:type="dxa"/>
            <w:tcBorders>
              <w:top w:val="single" w:color="auto" w:sz="4" w:space="0"/>
              <w:left w:val="nil"/>
              <w:bottom w:val="single" w:color="auto" w:sz="4" w:space="0"/>
              <w:right w:val="single" w:color="auto" w:sz="4" w:space="0"/>
            </w:tcBorders>
            <w:vAlign w:val="center"/>
          </w:tcPr>
          <w:p>
            <w:pPr>
              <w:pStyle w:val="10"/>
              <w:adjustRightInd w:val="0"/>
              <w:snapToGrid w:val="0"/>
              <w:spacing w:line="360" w:lineRule="auto"/>
              <w:jc w:val="both"/>
              <w:rPr>
                <w:rFonts w:hAnsi="宋体" w:eastAsia="宋体" w:cs="Songti SC Regular"/>
                <w:sz w:val="22"/>
                <w:szCs w:val="22"/>
              </w:rPr>
            </w:pPr>
            <w:r>
              <w:rPr>
                <w:rFonts w:hint="eastAsia" w:ascii="Songti SC Regular" w:hAnsi="Songti SC Regular" w:eastAsia="Songti SC Regular" w:cs="Songti SC Regular"/>
                <w:color w:val="auto"/>
                <w:sz w:val="24"/>
                <w:szCs w:val="24"/>
                <w:highlight w:val="none"/>
              </w:rPr>
              <w:t>根据</w:t>
            </w:r>
            <w:r>
              <w:rPr>
                <w:rFonts w:hint="eastAsia" w:ascii="Songti SC Regular" w:hAnsi="Songti SC Regular" w:eastAsia="Songti SC Regular" w:cs="Songti SC Regular"/>
                <w:color w:val="auto"/>
                <w:sz w:val="24"/>
                <w:szCs w:val="24"/>
                <w:highlight w:val="none"/>
                <w:lang w:val="en-US" w:eastAsia="zh-CN"/>
              </w:rPr>
              <w:t>采购</w:t>
            </w:r>
            <w:r>
              <w:rPr>
                <w:rFonts w:hint="eastAsia" w:ascii="Songti SC Regular" w:hAnsi="Songti SC Regular" w:eastAsia="Songti SC Regular" w:cs="Songti SC Regular"/>
                <w:color w:val="auto"/>
                <w:sz w:val="24"/>
                <w:szCs w:val="24"/>
                <w:highlight w:val="none"/>
              </w:rPr>
              <w:t>人现有情况进行分析，</w:t>
            </w:r>
            <w:r>
              <w:rPr>
                <w:rFonts w:hint="eastAsia" w:ascii="宋体" w:hAnsi="宋体" w:eastAsia="宋体" w:cs="宋体"/>
                <w:sz w:val="24"/>
                <w:szCs w:val="24"/>
              </w:rPr>
              <w:t>本项目建设项（至少包括：</w:t>
            </w:r>
            <w:r>
              <w:rPr>
                <w:rFonts w:hint="eastAsia" w:ascii="宋体" w:hAnsi="宋体" w:eastAsia="宋体" w:cs="宋体"/>
                <w:sz w:val="24"/>
                <w:szCs w:val="24"/>
                <w:lang w:val="en-US" w:eastAsia="zh-CN"/>
              </w:rPr>
              <w:t>会议室</w:t>
            </w:r>
            <w:r>
              <w:rPr>
                <w:rFonts w:hint="eastAsia" w:ascii="宋体" w:hAnsi="宋体" w:eastAsia="宋体" w:cs="宋体"/>
                <w:sz w:val="24"/>
                <w:szCs w:val="24"/>
              </w:rPr>
              <w:t>设施设备）的详细施工计划、内容至少包含：货物采购、运输、分发、安装、调试、调优、试运行、验收）内容齐全且对项目实施</w:t>
            </w:r>
            <w:r>
              <w:rPr>
                <w:rFonts w:hint="eastAsia" w:ascii="Songti SC Regular" w:hAnsi="Songti SC Regular" w:eastAsia="Songti SC Regular" w:cs="Songti SC Regular"/>
                <w:color w:val="auto"/>
                <w:sz w:val="24"/>
                <w:szCs w:val="24"/>
                <w:highlight w:val="none"/>
              </w:rPr>
              <w:t>不脱离实际、完整、符合本项目</w:t>
            </w:r>
            <w:r>
              <w:rPr>
                <w:rFonts w:hint="eastAsia" w:ascii="Songti SC Regular" w:hAnsi="Songti SC Regular" w:eastAsia="Songti SC Regular" w:cs="Songti SC Regular"/>
                <w:color w:val="auto"/>
                <w:sz w:val="24"/>
                <w:szCs w:val="24"/>
                <w:highlight w:val="none"/>
                <w:lang w:val="en-US" w:eastAsia="zh-Hans"/>
              </w:rPr>
              <w:t>现状</w:t>
            </w:r>
            <w:r>
              <w:rPr>
                <w:rFonts w:hint="eastAsia" w:ascii="Songti SC Regular" w:hAnsi="Songti SC Regular" w:eastAsia="Songti SC Regular" w:cs="Songti SC Regular"/>
                <w:color w:val="auto"/>
                <w:sz w:val="24"/>
                <w:szCs w:val="24"/>
                <w:highlight w:val="none"/>
                <w:lang w:eastAsia="zh-Hans"/>
              </w:rPr>
              <w:t>。优秀的得</w:t>
            </w:r>
            <w:r>
              <w:rPr>
                <w:rFonts w:hint="eastAsia" w:ascii="Songti SC Regular" w:hAnsi="Songti SC Regular" w:eastAsia="Songti SC Regular" w:cs="Songti SC Regular"/>
                <w:color w:val="auto"/>
                <w:sz w:val="24"/>
                <w:szCs w:val="24"/>
                <w:highlight w:val="none"/>
                <w:lang w:val="en-US" w:eastAsia="zh-CN"/>
              </w:rPr>
              <w:t>30</w:t>
            </w:r>
            <w:r>
              <w:rPr>
                <w:rFonts w:hint="eastAsia" w:ascii="Songti SC Regular" w:hAnsi="Songti SC Regular" w:eastAsia="Songti SC Regular" w:cs="Songti SC Regular"/>
                <w:color w:val="auto"/>
                <w:sz w:val="24"/>
                <w:szCs w:val="24"/>
                <w:highlight w:val="none"/>
                <w:lang w:eastAsia="zh-Hans"/>
              </w:rPr>
              <w:t>-</w:t>
            </w:r>
            <w:r>
              <w:rPr>
                <w:rFonts w:hint="eastAsia" w:ascii="Songti SC Regular" w:hAnsi="Songti SC Regular" w:eastAsia="Songti SC Regular" w:cs="Songti SC Regular"/>
                <w:color w:val="auto"/>
                <w:sz w:val="24"/>
                <w:szCs w:val="24"/>
                <w:highlight w:val="none"/>
                <w:lang w:val="en-US" w:eastAsia="zh-CN"/>
              </w:rPr>
              <w:t>20</w:t>
            </w:r>
            <w:r>
              <w:rPr>
                <w:rFonts w:hint="eastAsia" w:ascii="Songti SC Regular" w:hAnsi="Songti SC Regular" w:eastAsia="Songti SC Regular" w:cs="Songti SC Regular"/>
                <w:color w:val="auto"/>
                <w:sz w:val="24"/>
                <w:szCs w:val="24"/>
                <w:highlight w:val="none"/>
                <w:lang w:eastAsia="zh-Hans"/>
              </w:rPr>
              <w:t>分，良好的得</w:t>
            </w:r>
            <w:r>
              <w:rPr>
                <w:rFonts w:hint="eastAsia" w:ascii="Songti SC Regular" w:hAnsi="Songti SC Regular" w:eastAsia="Songti SC Regular" w:cs="Songti SC Regular"/>
                <w:color w:val="auto"/>
                <w:sz w:val="24"/>
                <w:szCs w:val="24"/>
                <w:highlight w:val="none"/>
                <w:lang w:val="en-US" w:eastAsia="zh-CN"/>
              </w:rPr>
              <w:t>20</w:t>
            </w:r>
            <w:r>
              <w:rPr>
                <w:rFonts w:hint="eastAsia" w:ascii="Songti SC Regular" w:hAnsi="Songti SC Regular" w:eastAsia="Songti SC Regular" w:cs="Songti SC Regular"/>
                <w:color w:val="auto"/>
                <w:sz w:val="24"/>
                <w:szCs w:val="24"/>
                <w:highlight w:val="none"/>
                <w:lang w:eastAsia="zh-Hans"/>
              </w:rPr>
              <w:t>-</w:t>
            </w:r>
            <w:r>
              <w:rPr>
                <w:rFonts w:hint="default" w:ascii="Songti SC Regular" w:hAnsi="Songti SC Regular" w:eastAsia="Songti SC Regular" w:cs="Songti SC Regular"/>
                <w:color w:val="auto"/>
                <w:sz w:val="24"/>
                <w:szCs w:val="24"/>
                <w:highlight w:val="none"/>
                <w:lang w:eastAsia="zh-Hans"/>
              </w:rPr>
              <w:t>10</w:t>
            </w:r>
            <w:r>
              <w:rPr>
                <w:rFonts w:hint="eastAsia" w:ascii="Songti SC Regular" w:hAnsi="Songti SC Regular" w:eastAsia="Songti SC Regular" w:cs="Songti SC Regular"/>
                <w:color w:val="auto"/>
                <w:sz w:val="24"/>
                <w:szCs w:val="24"/>
                <w:highlight w:val="none"/>
                <w:lang w:eastAsia="zh-Hans"/>
              </w:rPr>
              <w:t>分，满足基本要求的得</w:t>
            </w:r>
            <w:r>
              <w:rPr>
                <w:rFonts w:hint="eastAsia" w:ascii="Songti SC Regular" w:hAnsi="Songti SC Regular" w:eastAsia="Songti SC Regular" w:cs="Songti SC Regular"/>
                <w:color w:val="auto"/>
                <w:sz w:val="24"/>
                <w:szCs w:val="24"/>
                <w:highlight w:val="none"/>
                <w:lang w:val="en-US" w:eastAsia="zh-CN"/>
              </w:rPr>
              <w:t>10</w:t>
            </w:r>
            <w:r>
              <w:rPr>
                <w:rFonts w:hint="default" w:ascii="Songti SC Regular" w:hAnsi="Songti SC Regular" w:eastAsia="Songti SC Regular" w:cs="Songti SC Regular"/>
                <w:color w:val="auto"/>
                <w:sz w:val="24"/>
                <w:szCs w:val="24"/>
                <w:highlight w:val="none"/>
                <w:lang w:eastAsia="zh-Hans"/>
              </w:rPr>
              <w:t>-5</w:t>
            </w:r>
            <w:r>
              <w:rPr>
                <w:rFonts w:hint="eastAsia" w:ascii="Songti SC Regular" w:hAnsi="Songti SC Regular" w:eastAsia="Songti SC Regular" w:cs="Songti SC Regular"/>
                <w:color w:val="auto"/>
                <w:sz w:val="24"/>
                <w:szCs w:val="24"/>
                <w:highlight w:val="none"/>
                <w:lang w:eastAsia="zh-Hans"/>
              </w:rPr>
              <w:t>分，不满足的不得分</w:t>
            </w:r>
            <w:r>
              <w:rPr>
                <w:rFonts w:hint="eastAsia" w:ascii="Songti SC Regular" w:hAnsi="Songti SC Regular" w:eastAsia="Songti SC Regular" w:cs="Songti SC Regular"/>
                <w:color w:val="auto"/>
                <w:sz w:val="24"/>
                <w:szCs w:val="24"/>
                <w:highlight w:val="none"/>
                <w:lang w:eastAsia="zh-CN"/>
              </w:rPr>
              <w:t>。</w:t>
            </w:r>
          </w:p>
        </w:tc>
        <w:tc>
          <w:tcPr>
            <w:tcW w:w="1806" w:type="dxa"/>
            <w:tcBorders>
              <w:top w:val="single" w:color="auto" w:sz="4" w:space="0"/>
              <w:left w:val="nil"/>
              <w:bottom w:val="single" w:color="auto" w:sz="4" w:space="0"/>
              <w:right w:val="double" w:color="auto" w:sz="2" w:space="0"/>
            </w:tcBorders>
            <w:vAlign w:val="center"/>
          </w:tcPr>
          <w:p>
            <w:pPr>
              <w:adjustRightInd w:val="0"/>
              <w:snapToGrid w:val="0"/>
              <w:spacing w:line="360" w:lineRule="auto"/>
              <w:rPr>
                <w:rFonts w:hint="eastAsia" w:ascii="宋体" w:hAnsi="宋体" w:eastAsia="宋体" w:cs="Songti SC Regular"/>
                <w:kern w:val="0"/>
                <w:sz w:val="22"/>
                <w:szCs w:val="22"/>
                <w:lang w:bidi="ar"/>
              </w:rPr>
            </w:pPr>
          </w:p>
        </w:tc>
      </w:tr>
      <w:tr>
        <w:tblPrEx>
          <w:tblCellMar>
            <w:top w:w="0" w:type="dxa"/>
            <w:left w:w="108" w:type="dxa"/>
            <w:bottom w:w="0" w:type="dxa"/>
            <w:right w:w="108" w:type="dxa"/>
          </w:tblCellMar>
        </w:tblPrEx>
        <w:trPr>
          <w:cantSplit/>
          <w:trHeight w:val="942" w:hRule="atLeast"/>
          <w:jc w:val="center"/>
        </w:trPr>
        <w:tc>
          <w:tcPr>
            <w:tcW w:w="477" w:type="dxa"/>
            <w:tcBorders>
              <w:top w:val="single" w:color="auto" w:sz="4"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sz w:val="22"/>
                <w:szCs w:val="22"/>
              </w:rPr>
            </w:pPr>
            <w:r>
              <w:rPr>
                <w:rFonts w:hint="eastAsia" w:ascii="宋体" w:hAnsi="宋体" w:eastAsia="宋体" w:cs="Songti SC Regular"/>
                <w:kern w:val="0"/>
                <w:sz w:val="22"/>
                <w:szCs w:val="22"/>
                <w:lang w:bidi="ar"/>
              </w:rPr>
              <w:t>3</w:t>
            </w:r>
          </w:p>
        </w:tc>
        <w:tc>
          <w:tcPr>
            <w:tcW w:w="1244" w:type="dxa"/>
            <w:vMerge w:val="continue"/>
            <w:tcBorders>
              <w:left w:val="nil"/>
              <w:right w:val="single" w:color="auto" w:sz="4" w:space="0"/>
            </w:tcBorders>
            <w:vAlign w:val="center"/>
          </w:tcPr>
          <w:p>
            <w:pPr>
              <w:adjustRightInd w:val="0"/>
              <w:snapToGrid w:val="0"/>
              <w:spacing w:line="360" w:lineRule="auto"/>
              <w:jc w:val="center"/>
              <w:rPr>
                <w:rFonts w:ascii="宋体" w:hAnsi="宋体" w:eastAsia="宋体" w:cs="Songti SC Regular"/>
                <w:kern w:val="0"/>
                <w:sz w:val="22"/>
                <w:szCs w:val="22"/>
                <w:lang w:bidi="ar"/>
              </w:rPr>
            </w:pPr>
          </w:p>
        </w:tc>
        <w:tc>
          <w:tcPr>
            <w:tcW w:w="1297" w:type="dxa"/>
            <w:tcBorders>
              <w:top w:val="single" w:color="auto" w:sz="4" w:space="0"/>
              <w:left w:val="single" w:color="auto" w:sz="4" w:space="0"/>
              <w:right w:val="single" w:color="auto" w:sz="4" w:space="0"/>
            </w:tcBorders>
            <w:vAlign w:val="center"/>
          </w:tcPr>
          <w:p>
            <w:pPr>
              <w:widowControl/>
              <w:adjustRightInd w:val="0"/>
              <w:snapToGrid w:val="0"/>
              <w:spacing w:line="360" w:lineRule="auto"/>
              <w:jc w:val="center"/>
              <w:rPr>
                <w:rFonts w:ascii="宋体" w:hAnsi="宋体" w:eastAsia="宋体" w:cs="宋体"/>
                <w:sz w:val="22"/>
                <w:szCs w:val="22"/>
              </w:rPr>
            </w:pPr>
            <w:r>
              <w:rPr>
                <w:rFonts w:hint="eastAsia" w:ascii="宋体" w:hAnsi="宋体" w:eastAsia="宋体" w:cs="宋体"/>
                <w:bCs/>
                <w:sz w:val="24"/>
                <w:szCs w:val="24"/>
              </w:rPr>
              <w:t>综合实力</w:t>
            </w:r>
            <w:r>
              <w:rPr>
                <w:rFonts w:hint="eastAsia" w:ascii="Songti SC Regular" w:hAnsi="Songti SC Regular" w:eastAsia="Songti SC Regular" w:cs="Songti SC Regular"/>
                <w:color w:val="auto"/>
                <w:sz w:val="24"/>
                <w:szCs w:val="24"/>
                <w:highlight w:val="none"/>
              </w:rPr>
              <w:t>（</w:t>
            </w:r>
            <w:r>
              <w:rPr>
                <w:rFonts w:hint="eastAsia" w:ascii="Songti SC Regular" w:hAnsi="Songti SC Regular" w:eastAsia="Songti SC Regular" w:cs="Songti SC Regular"/>
                <w:color w:val="auto"/>
                <w:sz w:val="24"/>
                <w:szCs w:val="24"/>
                <w:highlight w:val="none"/>
                <w:lang w:val="en-US" w:eastAsia="zh-CN"/>
              </w:rPr>
              <w:t>6</w:t>
            </w:r>
            <w:r>
              <w:rPr>
                <w:rFonts w:hint="eastAsia" w:ascii="Songti SC Regular" w:hAnsi="Songti SC Regular" w:eastAsia="Songti SC Regular" w:cs="Songti SC Regular"/>
                <w:color w:val="auto"/>
                <w:sz w:val="24"/>
                <w:szCs w:val="24"/>
                <w:highlight w:val="none"/>
              </w:rPr>
              <w:t>分）</w:t>
            </w:r>
          </w:p>
        </w:tc>
        <w:tc>
          <w:tcPr>
            <w:tcW w:w="4970" w:type="dxa"/>
            <w:tcBorders>
              <w:top w:val="single" w:color="auto" w:sz="4" w:space="0"/>
              <w:left w:val="nil"/>
              <w:bottom w:val="single" w:color="auto" w:sz="4" w:space="0"/>
              <w:right w:val="single" w:color="auto" w:sz="4" w:space="0"/>
            </w:tcBorders>
            <w:vAlign w:val="center"/>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、供应商具有质量管理体系认证、环境管理体系认证、职业健康安全管理体系认证，提供一个得</w:t>
            </w:r>
            <w:r>
              <w:rPr>
                <w:rFonts w:hint="eastAsia" w:ascii="宋体" w:hAnsi="宋体" w:eastAsia="宋体" w:cs="宋体"/>
                <w:sz w:val="24"/>
                <w:szCs w:val="24"/>
                <w:lang w:val="en-US" w:eastAsia="zh-CN"/>
              </w:rPr>
              <w:t>2</w:t>
            </w:r>
            <w:r>
              <w:rPr>
                <w:rFonts w:hint="eastAsia" w:ascii="宋体" w:hAnsi="宋体" w:eastAsia="宋体" w:cs="宋体"/>
                <w:sz w:val="24"/>
                <w:szCs w:val="24"/>
              </w:rPr>
              <w:t>分，本项最多得</w:t>
            </w:r>
            <w:r>
              <w:rPr>
                <w:rFonts w:hint="eastAsia" w:ascii="宋体" w:hAnsi="宋体" w:eastAsia="宋体" w:cs="宋体"/>
                <w:sz w:val="24"/>
                <w:szCs w:val="24"/>
                <w:lang w:val="en-US" w:eastAsia="zh-CN"/>
              </w:rPr>
              <w:t>6</w:t>
            </w:r>
            <w:r>
              <w:rPr>
                <w:rFonts w:hint="eastAsia" w:ascii="宋体" w:hAnsi="宋体" w:eastAsia="宋体" w:cs="宋体"/>
                <w:sz w:val="24"/>
                <w:szCs w:val="24"/>
              </w:rPr>
              <w:t>分。</w:t>
            </w:r>
          </w:p>
          <w:p>
            <w:pPr>
              <w:pStyle w:val="10"/>
              <w:numPr>
                <w:ilvl w:val="0"/>
                <w:numId w:val="0"/>
              </w:numPr>
              <w:adjustRightInd w:val="0"/>
              <w:snapToGrid w:val="0"/>
              <w:spacing w:line="360" w:lineRule="auto"/>
              <w:ind w:left="0" w:firstLine="0"/>
              <w:jc w:val="left"/>
              <w:rPr>
                <w:rFonts w:hAnsi="宋体" w:eastAsia="宋体" w:cs="Songti SC Regular"/>
                <w:sz w:val="22"/>
                <w:szCs w:val="22"/>
              </w:rPr>
            </w:pPr>
            <w:r>
              <w:rPr>
                <w:rFonts w:hint="eastAsia" w:ascii="宋体" w:hAnsi="宋体" w:eastAsia="宋体" w:cs="宋体"/>
                <w:sz w:val="24"/>
                <w:szCs w:val="24"/>
              </w:rPr>
              <w:t>注：提供有效证书复印件或者扫描件并加盖供应商公章，否则相应项不得分。</w:t>
            </w:r>
          </w:p>
        </w:tc>
        <w:tc>
          <w:tcPr>
            <w:tcW w:w="1806" w:type="dxa"/>
            <w:tcBorders>
              <w:top w:val="single" w:color="auto" w:sz="4" w:space="0"/>
              <w:left w:val="single" w:color="auto" w:sz="4" w:space="0"/>
              <w:bottom w:val="single" w:color="auto" w:sz="4" w:space="0"/>
              <w:right w:val="double" w:color="auto" w:sz="2" w:space="0"/>
            </w:tcBorders>
            <w:vAlign w:val="center"/>
          </w:tcPr>
          <w:p>
            <w:pPr>
              <w:adjustRightInd w:val="0"/>
              <w:snapToGrid w:val="0"/>
              <w:spacing w:line="360" w:lineRule="auto"/>
              <w:rPr>
                <w:rFonts w:hint="eastAsia" w:ascii="宋体" w:hAnsi="宋体" w:eastAsia="宋体" w:cs="Songti SC Regular"/>
                <w:kern w:val="0"/>
                <w:sz w:val="22"/>
                <w:szCs w:val="22"/>
                <w:lang w:bidi="ar"/>
              </w:rPr>
            </w:pPr>
          </w:p>
        </w:tc>
      </w:tr>
      <w:tr>
        <w:tblPrEx>
          <w:tblCellMar>
            <w:top w:w="0" w:type="dxa"/>
            <w:left w:w="108" w:type="dxa"/>
            <w:bottom w:w="0" w:type="dxa"/>
            <w:right w:w="108" w:type="dxa"/>
          </w:tblCellMar>
        </w:tblPrEx>
        <w:trPr>
          <w:cantSplit/>
          <w:trHeight w:val="1128" w:hRule="atLeast"/>
          <w:jc w:val="center"/>
        </w:trPr>
        <w:tc>
          <w:tcPr>
            <w:tcW w:w="477" w:type="dxa"/>
            <w:tcBorders>
              <w:top w:val="single" w:color="auto" w:sz="4"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hint="eastAsia" w:ascii="宋体" w:hAnsi="宋体" w:eastAsia="宋体" w:cs="Songti SC Regular"/>
                <w:sz w:val="22"/>
                <w:szCs w:val="22"/>
                <w:lang w:val="en-US" w:eastAsia="zh-CN"/>
              </w:rPr>
            </w:pPr>
            <w:r>
              <w:rPr>
                <w:rFonts w:hint="eastAsia" w:ascii="宋体" w:hAnsi="宋体" w:eastAsia="宋体" w:cs="Songti SC Regular"/>
                <w:sz w:val="22"/>
                <w:szCs w:val="22"/>
                <w:lang w:val="en-US" w:eastAsia="zh-CN"/>
              </w:rPr>
              <w:t>4</w:t>
            </w:r>
          </w:p>
        </w:tc>
        <w:tc>
          <w:tcPr>
            <w:tcW w:w="1244" w:type="dxa"/>
            <w:tcBorders>
              <w:top w:val="single" w:color="auto" w:sz="4" w:space="0"/>
              <w:left w:val="nil"/>
              <w:right w:val="single" w:color="auto" w:sz="4" w:space="0"/>
            </w:tcBorders>
            <w:vAlign w:val="center"/>
          </w:tcPr>
          <w:p>
            <w:pPr>
              <w:adjustRightInd w:val="0"/>
              <w:snapToGrid w:val="0"/>
              <w:spacing w:line="360" w:lineRule="auto"/>
              <w:jc w:val="center"/>
              <w:rPr>
                <w:rFonts w:ascii="宋体" w:hAnsi="宋体" w:eastAsia="宋体" w:cs="Songti SC Regular"/>
                <w:sz w:val="22"/>
                <w:szCs w:val="22"/>
                <w:lang w:eastAsia="zh-Hans"/>
              </w:rPr>
            </w:pPr>
            <w:r>
              <w:rPr>
                <w:rFonts w:hint="eastAsia" w:ascii="宋体" w:hAnsi="宋体" w:eastAsia="宋体" w:cs="宋体"/>
                <w:bCs/>
                <w:sz w:val="24"/>
                <w:szCs w:val="24"/>
              </w:rPr>
              <w:t>技术参数及要求</w:t>
            </w:r>
          </w:p>
        </w:tc>
        <w:tc>
          <w:tcPr>
            <w:tcW w:w="1297"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int="default" w:ascii="宋体" w:hAnsi="宋体" w:eastAsia="宋体" w:cs="Songti SC Regular"/>
                <w:sz w:val="22"/>
                <w:szCs w:val="22"/>
                <w:lang w:val="en-US" w:eastAsia="zh-CN"/>
              </w:rPr>
            </w:pPr>
            <w:r>
              <w:rPr>
                <w:rFonts w:hint="eastAsia" w:ascii="宋体" w:hAnsi="宋体" w:eastAsia="宋体" w:cs="宋体"/>
                <w:sz w:val="22"/>
                <w:szCs w:val="22"/>
                <w:lang w:val="en-US" w:eastAsia="zh-CN"/>
              </w:rPr>
              <w:t>30分</w:t>
            </w:r>
          </w:p>
        </w:tc>
        <w:tc>
          <w:tcPr>
            <w:tcW w:w="4970" w:type="dxa"/>
            <w:tcBorders>
              <w:top w:val="single" w:color="auto" w:sz="4" w:space="0"/>
              <w:left w:val="nil"/>
              <w:bottom w:val="single" w:color="auto" w:sz="4" w:space="0"/>
              <w:right w:val="single" w:color="auto" w:sz="4" w:space="0"/>
            </w:tcBorders>
            <w:vAlign w:val="center"/>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完全符合技术参数要求没有负偏离得30分。</w:t>
            </w:r>
          </w:p>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rPr>
              <w:t>“★”号技术参数响应得分=（供应商满足“★”号技术参数条款的数量÷“★”号技术参数条款总数量）×</w:t>
            </w:r>
            <w:r>
              <w:rPr>
                <w:rFonts w:hint="eastAsia" w:ascii="宋体" w:hAnsi="宋体" w:eastAsia="宋体" w:cs="宋体"/>
                <w:sz w:val="24"/>
                <w:szCs w:val="24"/>
                <w:lang w:val="en-US" w:eastAsia="zh-CN"/>
              </w:rPr>
              <w:t>15</w:t>
            </w:r>
            <w:r>
              <w:rPr>
                <w:rFonts w:hint="eastAsia" w:ascii="宋体" w:hAnsi="宋体" w:eastAsia="宋体" w:cs="宋体"/>
                <w:sz w:val="24"/>
                <w:szCs w:val="24"/>
              </w:rPr>
              <w:t>。</w:t>
            </w:r>
            <w:r>
              <w:rPr>
                <w:rFonts w:hint="eastAsia" w:ascii="宋体" w:hAnsi="宋体" w:eastAsia="宋体" w:cs="宋体"/>
                <w:sz w:val="24"/>
                <w:szCs w:val="24"/>
                <w:lang w:eastAsia="zh-CN"/>
              </w:rPr>
              <w:t>（本项共计</w:t>
            </w:r>
            <w:r>
              <w:rPr>
                <w:rFonts w:hint="eastAsia" w:ascii="宋体" w:hAnsi="宋体" w:eastAsia="宋体" w:cs="宋体"/>
                <w:sz w:val="24"/>
                <w:szCs w:val="24"/>
                <w:lang w:val="en-US" w:eastAsia="zh-CN"/>
              </w:rPr>
              <w:t>15分，条款共计20条</w:t>
            </w:r>
            <w:r>
              <w:rPr>
                <w:rFonts w:hint="eastAsia" w:ascii="宋体" w:hAnsi="宋体" w:eastAsia="宋体" w:cs="宋体"/>
                <w:sz w:val="24"/>
                <w:szCs w:val="24"/>
                <w:lang w:eastAsia="zh-CN"/>
              </w:rPr>
              <w:t>）</w:t>
            </w:r>
          </w:p>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rPr>
              <w:t>一般技术参数响应得分=（供应商满足一般技术参数条款的数量÷一般技术参数条款总数量）×</w:t>
            </w:r>
            <w:r>
              <w:rPr>
                <w:rFonts w:hint="eastAsia" w:ascii="宋体" w:hAnsi="宋体" w:eastAsia="宋体" w:cs="宋体"/>
                <w:sz w:val="24"/>
                <w:szCs w:val="24"/>
                <w:lang w:val="en-US" w:eastAsia="zh-CN"/>
              </w:rPr>
              <w:t>15</w:t>
            </w:r>
            <w:r>
              <w:rPr>
                <w:rFonts w:hint="eastAsia" w:ascii="宋体" w:hAnsi="宋体" w:eastAsia="宋体" w:cs="宋体"/>
                <w:sz w:val="24"/>
                <w:szCs w:val="24"/>
              </w:rPr>
              <w:t>。</w:t>
            </w:r>
            <w:r>
              <w:rPr>
                <w:rFonts w:hint="eastAsia" w:ascii="宋体" w:hAnsi="宋体" w:eastAsia="宋体" w:cs="宋体"/>
                <w:sz w:val="24"/>
                <w:szCs w:val="24"/>
                <w:lang w:eastAsia="zh-CN"/>
              </w:rPr>
              <w:t>（本项共计</w:t>
            </w:r>
            <w:r>
              <w:rPr>
                <w:rFonts w:hint="eastAsia" w:ascii="宋体" w:hAnsi="宋体" w:eastAsia="宋体" w:cs="宋体"/>
                <w:sz w:val="24"/>
                <w:szCs w:val="24"/>
                <w:lang w:val="en-US" w:eastAsia="zh-CN"/>
              </w:rPr>
              <w:t>15分，条款共计450条</w:t>
            </w:r>
            <w:r>
              <w:rPr>
                <w:rFonts w:hint="eastAsia" w:ascii="宋体" w:hAnsi="宋体" w:eastAsia="宋体" w:cs="宋体"/>
                <w:sz w:val="24"/>
                <w:szCs w:val="24"/>
                <w:lang w:eastAsia="zh-CN"/>
              </w:rPr>
              <w:t>）</w:t>
            </w:r>
          </w:p>
          <w:p>
            <w:pPr>
              <w:pStyle w:val="10"/>
              <w:adjustRightInd w:val="0"/>
              <w:snapToGrid w:val="0"/>
              <w:spacing w:line="360" w:lineRule="auto"/>
              <w:jc w:val="left"/>
              <w:rPr>
                <w:rFonts w:hAnsi="宋体" w:eastAsia="宋体" w:cs="Songti SC Regular"/>
                <w:sz w:val="22"/>
                <w:szCs w:val="22"/>
              </w:rPr>
            </w:pPr>
            <w:r>
              <w:rPr>
                <w:rFonts w:hint="eastAsia" w:ascii="宋体" w:hAnsi="宋体" w:eastAsia="宋体" w:cs="宋体"/>
                <w:sz w:val="24"/>
                <w:szCs w:val="24"/>
              </w:rPr>
              <w:t>注：①一般技术参数指磋商文件中未标注“★”号的条款。②针对“★”号技术参数的响应，供应商需根据技术参数中支撑材料的具体要求提供，未明确要求具体支撑材料的只需应答即可，否则其相应条款将被视为负偏离。③针对一般条款的响应，若技术参数中对技术支撑材料有具体要求的则按具体要求提供，否则其相应条款将被视为负偏离。</w:t>
            </w:r>
          </w:p>
        </w:tc>
        <w:tc>
          <w:tcPr>
            <w:tcW w:w="1806" w:type="dxa"/>
            <w:tcBorders>
              <w:top w:val="single" w:color="auto" w:sz="4" w:space="0"/>
              <w:left w:val="single" w:color="auto" w:sz="4" w:space="0"/>
              <w:bottom w:val="single" w:color="auto" w:sz="4" w:space="0"/>
              <w:right w:val="double" w:color="auto" w:sz="2" w:space="0"/>
            </w:tcBorders>
            <w:vAlign w:val="center"/>
          </w:tcPr>
          <w:p>
            <w:pPr>
              <w:adjustRightInd w:val="0"/>
              <w:snapToGrid w:val="0"/>
              <w:spacing w:line="360" w:lineRule="auto"/>
              <w:rPr>
                <w:rFonts w:ascii="宋体" w:hAnsi="宋体" w:eastAsia="宋体" w:cs="Songti SC Regular"/>
                <w:sz w:val="22"/>
                <w:szCs w:val="22"/>
              </w:rPr>
            </w:pPr>
          </w:p>
        </w:tc>
      </w:tr>
      <w:tr>
        <w:tblPrEx>
          <w:tblCellMar>
            <w:top w:w="0" w:type="dxa"/>
            <w:left w:w="108" w:type="dxa"/>
            <w:bottom w:w="0" w:type="dxa"/>
            <w:right w:w="108" w:type="dxa"/>
          </w:tblCellMar>
        </w:tblPrEx>
        <w:trPr>
          <w:cantSplit/>
          <w:trHeight w:val="3570" w:hRule="atLeast"/>
          <w:jc w:val="center"/>
        </w:trPr>
        <w:tc>
          <w:tcPr>
            <w:tcW w:w="477" w:type="dxa"/>
            <w:tcBorders>
              <w:top w:val="single" w:color="auto" w:sz="4" w:space="0"/>
              <w:left w:val="double" w:color="auto" w:sz="2" w:space="0"/>
              <w:bottom w:val="single" w:color="auto" w:sz="4" w:space="0"/>
              <w:right w:val="single" w:color="auto" w:sz="4" w:space="0"/>
            </w:tcBorders>
            <w:vAlign w:val="center"/>
          </w:tcPr>
          <w:p>
            <w:pPr>
              <w:adjustRightInd w:val="0"/>
              <w:snapToGrid w:val="0"/>
              <w:spacing w:line="360" w:lineRule="auto"/>
              <w:jc w:val="center"/>
              <w:rPr>
                <w:rFonts w:hint="eastAsia" w:ascii="宋体" w:hAnsi="宋体" w:eastAsia="宋体" w:cs="Songti SC Regular"/>
                <w:sz w:val="22"/>
                <w:szCs w:val="22"/>
                <w:lang w:val="en-US" w:eastAsia="zh-CN"/>
              </w:rPr>
            </w:pPr>
            <w:r>
              <w:rPr>
                <w:rFonts w:hint="eastAsia" w:ascii="宋体" w:hAnsi="宋体" w:eastAsia="宋体" w:cs="Songti SC Regular"/>
                <w:sz w:val="22"/>
                <w:szCs w:val="22"/>
                <w:lang w:val="en-US" w:eastAsia="zh-CN"/>
              </w:rPr>
              <w:t>5</w:t>
            </w:r>
          </w:p>
        </w:tc>
        <w:tc>
          <w:tcPr>
            <w:tcW w:w="1244" w:type="dxa"/>
            <w:tcBorders>
              <w:left w:val="nil"/>
              <w:bottom w:val="single" w:color="auto" w:sz="4" w:space="0"/>
              <w:right w:val="single" w:color="auto" w:sz="4" w:space="0"/>
            </w:tcBorders>
            <w:vAlign w:val="center"/>
          </w:tcPr>
          <w:p>
            <w:pPr>
              <w:adjustRightInd w:val="0"/>
              <w:snapToGrid w:val="0"/>
              <w:spacing w:line="360" w:lineRule="auto"/>
              <w:jc w:val="center"/>
              <w:rPr>
                <w:rFonts w:ascii="宋体" w:hAnsi="宋体" w:eastAsia="宋体" w:cs="Songti SC Regular"/>
                <w:sz w:val="22"/>
                <w:szCs w:val="22"/>
              </w:rPr>
            </w:pPr>
            <w:r>
              <w:rPr>
                <w:rFonts w:hint="eastAsia" w:ascii="Songti SC Regular" w:hAnsi="Songti SC Regular" w:eastAsia="Songti SC Regular" w:cs="Songti SC Regular"/>
                <w:color w:val="auto"/>
                <w:sz w:val="24"/>
                <w:szCs w:val="24"/>
                <w:highlight w:val="none"/>
              </w:rPr>
              <w:t>类似业绩</w:t>
            </w:r>
          </w:p>
        </w:tc>
        <w:tc>
          <w:tcPr>
            <w:tcW w:w="1297"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hint="default" w:ascii="宋体" w:hAnsi="宋体" w:eastAsia="宋体" w:cs="Songti SC Regular"/>
                <w:sz w:val="22"/>
                <w:szCs w:val="22"/>
                <w:highlight w:val="none"/>
                <w:lang w:val="en-US" w:eastAsia="zh-CN"/>
              </w:rPr>
            </w:pPr>
            <w:r>
              <w:rPr>
                <w:rFonts w:hint="eastAsia" w:ascii="宋体" w:hAnsi="宋体" w:eastAsia="宋体" w:cs="宋体"/>
                <w:sz w:val="22"/>
                <w:szCs w:val="22"/>
                <w:highlight w:val="none"/>
                <w:lang w:val="en-US" w:eastAsia="zh-CN"/>
              </w:rPr>
              <w:t>4分</w:t>
            </w:r>
          </w:p>
        </w:tc>
        <w:tc>
          <w:tcPr>
            <w:tcW w:w="4970" w:type="dxa"/>
            <w:tcBorders>
              <w:top w:val="single" w:color="auto" w:sz="4" w:space="0"/>
              <w:left w:val="nil"/>
              <w:bottom w:val="single" w:color="auto" w:sz="4" w:space="0"/>
              <w:right w:val="single" w:color="auto" w:sz="4" w:space="0"/>
            </w:tcBorders>
            <w:vAlign w:val="center"/>
          </w:tcPr>
          <w:p>
            <w:pPr>
              <w:pStyle w:val="10"/>
              <w:adjustRightInd w:val="0"/>
              <w:snapToGrid w:val="0"/>
              <w:spacing w:line="360" w:lineRule="auto"/>
              <w:jc w:val="left"/>
              <w:rPr>
                <w:rFonts w:hAnsi="宋体" w:eastAsia="宋体" w:cs="Songti SC Regular"/>
                <w:strike/>
                <w:sz w:val="22"/>
                <w:szCs w:val="22"/>
                <w:highlight w:val="none"/>
              </w:rPr>
            </w:pPr>
            <w:r>
              <w:rPr>
                <w:rFonts w:hint="eastAsia" w:ascii="Songti SC Regular" w:hAnsi="Songti SC Regular" w:eastAsia="Songti SC Regular" w:cs="Songti SC Regular"/>
                <w:color w:val="auto"/>
                <w:sz w:val="24"/>
                <w:szCs w:val="24"/>
                <w:highlight w:val="none"/>
              </w:rPr>
              <w:t>满足基础要求（第一章中业绩要求）的得</w:t>
            </w:r>
            <w:r>
              <w:rPr>
                <w:rFonts w:hint="eastAsia" w:ascii="Songti SC Regular" w:hAnsi="Songti SC Regular" w:eastAsia="Songti SC Regular" w:cs="Songti SC Regular"/>
                <w:color w:val="auto"/>
                <w:sz w:val="24"/>
                <w:szCs w:val="24"/>
                <w:highlight w:val="none"/>
                <w:lang w:val="en-US" w:eastAsia="zh-CN"/>
              </w:rPr>
              <w:t>3</w:t>
            </w:r>
            <w:r>
              <w:rPr>
                <w:rFonts w:hint="eastAsia" w:ascii="Songti SC Regular" w:hAnsi="Songti SC Regular" w:eastAsia="Songti SC Regular" w:cs="Songti SC Regular"/>
                <w:color w:val="auto"/>
                <w:sz w:val="24"/>
                <w:szCs w:val="24"/>
                <w:highlight w:val="none"/>
              </w:rPr>
              <w:t>分，在201</w:t>
            </w:r>
            <w:r>
              <w:rPr>
                <w:rFonts w:hint="eastAsia" w:ascii="Songti SC Regular" w:hAnsi="Songti SC Regular" w:eastAsia="Songti SC Regular" w:cs="Songti SC Regular"/>
                <w:color w:val="auto"/>
                <w:sz w:val="24"/>
                <w:szCs w:val="24"/>
                <w:highlight w:val="none"/>
                <w:lang w:val="en-US" w:eastAsia="zh-CN"/>
              </w:rPr>
              <w:t>9</w:t>
            </w:r>
            <w:r>
              <w:rPr>
                <w:rFonts w:hint="eastAsia" w:ascii="Songti SC Regular" w:hAnsi="Songti SC Regular" w:eastAsia="Songti SC Regular" w:cs="Songti SC Regular"/>
                <w:color w:val="auto"/>
                <w:sz w:val="24"/>
                <w:szCs w:val="24"/>
                <w:highlight w:val="none"/>
              </w:rPr>
              <w:t>年1月1日至参选截止日内每增加一个类似业绩得</w:t>
            </w:r>
            <w:r>
              <w:rPr>
                <w:rFonts w:hint="eastAsia" w:ascii="Songti SC Regular" w:hAnsi="Songti SC Regular" w:eastAsia="Songti SC Regular" w:cs="Songti SC Regular"/>
                <w:color w:val="auto"/>
                <w:sz w:val="24"/>
                <w:szCs w:val="24"/>
                <w:highlight w:val="none"/>
                <w:lang w:val="en-US" w:eastAsia="zh-CN"/>
              </w:rPr>
              <w:t>1</w:t>
            </w:r>
            <w:r>
              <w:rPr>
                <w:rFonts w:hint="eastAsia" w:ascii="Songti SC Regular" w:hAnsi="Songti SC Regular" w:eastAsia="Songti SC Regular" w:cs="Songti SC Regular"/>
                <w:color w:val="auto"/>
                <w:sz w:val="24"/>
                <w:szCs w:val="24"/>
                <w:highlight w:val="none"/>
              </w:rPr>
              <w:t>分，满分</w:t>
            </w:r>
            <w:r>
              <w:rPr>
                <w:rFonts w:hint="eastAsia" w:ascii="Songti SC Regular" w:hAnsi="Songti SC Regular" w:eastAsia="Songti SC Regular" w:cs="Songti SC Regular"/>
                <w:color w:val="auto"/>
                <w:sz w:val="24"/>
                <w:szCs w:val="24"/>
                <w:highlight w:val="none"/>
                <w:lang w:val="en-US" w:eastAsia="zh-CN"/>
              </w:rPr>
              <w:t>4</w:t>
            </w:r>
            <w:r>
              <w:rPr>
                <w:rFonts w:hint="eastAsia" w:ascii="Songti SC Regular" w:hAnsi="Songti SC Regular" w:eastAsia="Songti SC Regular" w:cs="Songti SC Regular"/>
                <w:color w:val="auto"/>
                <w:sz w:val="24"/>
                <w:szCs w:val="24"/>
                <w:highlight w:val="none"/>
              </w:rPr>
              <w:t>分。</w:t>
            </w:r>
          </w:p>
        </w:tc>
        <w:tc>
          <w:tcPr>
            <w:tcW w:w="1806" w:type="dxa"/>
            <w:tcBorders>
              <w:top w:val="single" w:color="auto" w:sz="4" w:space="0"/>
              <w:left w:val="nil"/>
              <w:bottom w:val="single" w:color="auto" w:sz="4" w:space="0"/>
              <w:right w:val="double" w:color="auto" w:sz="2" w:space="0"/>
            </w:tcBorders>
            <w:vAlign w:val="center"/>
          </w:tcPr>
          <w:p>
            <w:pPr>
              <w:adjustRightInd w:val="0"/>
              <w:snapToGrid w:val="0"/>
              <w:spacing w:line="360" w:lineRule="auto"/>
              <w:rPr>
                <w:rFonts w:ascii="宋体" w:hAnsi="宋体" w:eastAsia="宋体" w:cs="Songti SC Regular"/>
                <w:sz w:val="22"/>
                <w:szCs w:val="22"/>
              </w:rPr>
            </w:pPr>
            <w:r>
              <w:rPr>
                <w:rFonts w:hint="eastAsia" w:ascii="Songti SC Regular" w:hAnsi="Songti SC Regular" w:eastAsia="Songti SC Regular" w:cs="Songti SC Regular"/>
                <w:color w:val="auto"/>
                <w:sz w:val="24"/>
                <w:szCs w:val="24"/>
                <w:highlight w:val="none"/>
              </w:rPr>
              <w:t>提供合同复印件或成交通知书复印件加盖公章。</w:t>
            </w:r>
          </w:p>
        </w:tc>
      </w:tr>
      <w:tr>
        <w:tblPrEx>
          <w:tblCellMar>
            <w:top w:w="0" w:type="dxa"/>
            <w:left w:w="108" w:type="dxa"/>
            <w:bottom w:w="0" w:type="dxa"/>
            <w:right w:w="108" w:type="dxa"/>
          </w:tblCellMar>
        </w:tblPrEx>
        <w:trPr>
          <w:cantSplit/>
          <w:trHeight w:val="570" w:hRule="atLeast"/>
          <w:jc w:val="center"/>
        </w:trPr>
        <w:tc>
          <w:tcPr>
            <w:tcW w:w="1721" w:type="dxa"/>
            <w:gridSpan w:val="2"/>
            <w:tcBorders>
              <w:top w:val="single" w:color="auto" w:sz="4" w:space="0"/>
              <w:left w:val="double" w:color="auto" w:sz="2" w:space="0"/>
              <w:bottom w:val="double" w:color="auto" w:sz="2" w:space="0"/>
              <w:right w:val="single" w:color="auto" w:sz="4" w:space="0"/>
            </w:tcBorders>
            <w:vAlign w:val="center"/>
          </w:tcPr>
          <w:p>
            <w:pPr>
              <w:autoSpaceDE w:val="0"/>
              <w:adjustRightInd w:val="0"/>
              <w:snapToGrid w:val="0"/>
              <w:spacing w:line="360" w:lineRule="auto"/>
              <w:jc w:val="center"/>
              <w:rPr>
                <w:rFonts w:ascii="宋体" w:hAnsi="宋体" w:eastAsia="宋体" w:cs="Songti SC Regular"/>
                <w:sz w:val="22"/>
                <w:szCs w:val="22"/>
              </w:rPr>
            </w:pPr>
            <w:r>
              <w:rPr>
                <w:rFonts w:hint="eastAsia" w:ascii="宋体" w:hAnsi="宋体" w:eastAsia="宋体" w:cs="Songti SC Regular"/>
                <w:kern w:val="0"/>
                <w:sz w:val="22"/>
                <w:szCs w:val="22"/>
                <w:lang w:bidi="ar"/>
              </w:rPr>
              <w:t>合  计</w:t>
            </w:r>
          </w:p>
        </w:tc>
        <w:tc>
          <w:tcPr>
            <w:tcW w:w="8073" w:type="dxa"/>
            <w:gridSpan w:val="3"/>
            <w:tcBorders>
              <w:top w:val="single" w:color="auto" w:sz="4" w:space="0"/>
              <w:left w:val="nil"/>
              <w:bottom w:val="double" w:color="auto" w:sz="2" w:space="0"/>
              <w:right w:val="double" w:color="auto" w:sz="2" w:space="0"/>
            </w:tcBorders>
            <w:vAlign w:val="center"/>
          </w:tcPr>
          <w:p>
            <w:pPr>
              <w:widowControl/>
              <w:autoSpaceDE w:val="0"/>
              <w:adjustRightInd w:val="0"/>
              <w:snapToGrid w:val="0"/>
              <w:spacing w:line="360" w:lineRule="auto"/>
              <w:jc w:val="center"/>
              <w:rPr>
                <w:rFonts w:ascii="宋体" w:hAnsi="宋体" w:eastAsia="宋体" w:cs="Songti SC Regular"/>
                <w:sz w:val="22"/>
                <w:szCs w:val="22"/>
              </w:rPr>
            </w:pPr>
            <w:r>
              <w:rPr>
                <w:rFonts w:hint="eastAsia" w:ascii="宋体" w:hAnsi="宋体" w:eastAsia="宋体" w:cs="Songti SC Regular"/>
                <w:kern w:val="0"/>
                <w:sz w:val="22"/>
                <w:szCs w:val="22"/>
                <w:lang w:bidi="ar"/>
              </w:rPr>
              <w:t>100分</w:t>
            </w:r>
          </w:p>
        </w:tc>
      </w:tr>
    </w:tbl>
    <w:p>
      <w:pPr>
        <w:pStyle w:val="2"/>
        <w:adjustRightInd w:val="0"/>
        <w:snapToGrid w:val="0"/>
        <w:spacing w:after="0" w:line="360" w:lineRule="auto"/>
        <w:ind w:left="0" w:leftChars="0" w:firstLine="480"/>
        <w:rPr>
          <w:rFonts w:ascii="宋体" w:hAnsi="宋体" w:eastAsia="宋体"/>
          <w:sz w:val="24"/>
          <w:szCs w:val="24"/>
        </w:rPr>
      </w:pP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10. 成交</w:t>
      </w:r>
    </w:p>
    <w:p>
      <w:pPr>
        <w:pStyle w:val="9"/>
        <w:adjustRightInd w:val="0"/>
        <w:snapToGrid w:val="0"/>
        <w:spacing w:after="0" w:line="360" w:lineRule="auto"/>
        <w:ind w:firstLine="480" w:firstLineChars="200"/>
        <w:rPr>
          <w:rFonts w:ascii="宋体" w:hAnsi="宋体" w:eastAsia="宋体" w:cs="宋体"/>
          <w:sz w:val="24"/>
        </w:rPr>
      </w:pPr>
      <w:r>
        <w:rPr>
          <w:rFonts w:hint="eastAsia" w:ascii="宋体" w:hAnsi="宋体" w:eastAsia="宋体" w:cs="宋体"/>
          <w:sz w:val="24"/>
        </w:rPr>
        <w:t>采购人不解释成交或未成交原因，不退回申请文件和其他响应资料。</w:t>
      </w: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11. 重新竞争谈判</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出现下列情形之一的，采购人可终止竞争谈判采购活动：</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（1）因情况变化，不再符合竞争谈判采购方式适用情形的；</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（2）出现影响采购公正的违法、违规行为的；</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（3）竞争谈判截止时间止，竞争谈判申请人少于2个的；</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（4）其他采购人认为有必要终止竞争谈判采购活动的。</w:t>
      </w: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12. 合同签订</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竞得人应当在知悉中选</w:t>
      </w:r>
      <w:r>
        <w:rPr>
          <w:rFonts w:hint="eastAsia" w:ascii="宋体" w:hAnsi="宋体" w:eastAsia="宋体" w:cs="宋体"/>
          <w:sz w:val="24"/>
          <w:highlight w:val="none"/>
        </w:rPr>
        <w:t>后30日</w:t>
      </w:r>
      <w:r>
        <w:rPr>
          <w:rFonts w:hint="eastAsia" w:ascii="宋体" w:hAnsi="宋体" w:eastAsia="宋体" w:cs="宋体"/>
          <w:sz w:val="24"/>
        </w:rPr>
        <w:t>内，根据竞争谈判文件以及申请文件与采购人订立书面合同，无正当理由逾期不签的，视为放弃成交。</w:t>
      </w: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13. 投诉</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竞争谈判申请人和其利害关系人认为本次竞争谈判违反法律、法规和规章规定的，有权向有关部门进行投诉。</w:t>
      </w:r>
    </w:p>
    <w:p>
      <w:pPr>
        <w:widowControl/>
        <w:adjustRightInd w:val="0"/>
        <w:snapToGrid w:val="0"/>
        <w:spacing w:line="360" w:lineRule="auto"/>
        <w:ind w:firstLine="480" w:firstLineChars="200"/>
        <w:jc w:val="left"/>
        <w:rPr>
          <w:rFonts w:ascii="宋体" w:hAnsi="宋体" w:eastAsia="宋体" w:cs="宋体"/>
          <w:sz w:val="24"/>
        </w:rPr>
      </w:pPr>
      <w:r>
        <w:rPr>
          <w:rFonts w:hint="eastAsia" w:ascii="宋体" w:hAnsi="宋体" w:eastAsia="宋体" w:cs="宋体"/>
          <w:sz w:val="24"/>
        </w:rPr>
        <w:t>监督举报电话：028-83225339</w:t>
      </w:r>
    </w:p>
    <w:p>
      <w:pPr>
        <w:widowControl/>
        <w:spacing w:line="480" w:lineRule="exact"/>
        <w:jc w:val="both"/>
        <w:rPr>
          <w:rFonts w:ascii="宋体" w:hAnsi="宋体" w:eastAsia="宋体" w:cs="宋体"/>
          <w:kern w:val="0"/>
          <w:sz w:val="28"/>
          <w:szCs w:val="28"/>
        </w:rPr>
      </w:pPr>
      <w:r>
        <w:rPr>
          <w:rFonts w:hint="eastAsia" w:ascii="宋体" w:hAnsi="宋体" w:eastAsia="宋体" w:cs="宋体"/>
          <w:kern w:val="0"/>
          <w:sz w:val="28"/>
          <w:szCs w:val="28"/>
        </w:rPr>
        <w:br w:type="page"/>
      </w:r>
    </w:p>
    <w:p>
      <w:pPr>
        <w:widowControl/>
        <w:spacing w:line="480" w:lineRule="exac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第三章</w:t>
      </w:r>
      <w:r>
        <w:rPr>
          <w:rFonts w:ascii="方正小标宋简体" w:hAnsi="宋体" w:eastAsia="方正小标宋简体" w:cs="宋体"/>
          <w:kern w:val="0"/>
          <w:sz w:val="44"/>
          <w:szCs w:val="44"/>
        </w:rPr>
        <w:t xml:space="preserve"> </w:t>
      </w:r>
      <w:r>
        <w:rPr>
          <w:rFonts w:hint="eastAsia" w:ascii="方正小标宋简体" w:hAnsi="宋体" w:eastAsia="方正小标宋简体" w:cs="宋体"/>
          <w:kern w:val="0"/>
          <w:sz w:val="44"/>
          <w:szCs w:val="44"/>
        </w:rPr>
        <w:t>竞争谈判要求</w:t>
      </w:r>
    </w:p>
    <w:p>
      <w:pPr>
        <w:pStyle w:val="9"/>
        <w:spacing w:after="0" w:line="480" w:lineRule="exact"/>
        <w:rPr>
          <w:sz w:val="28"/>
          <w:szCs w:val="28"/>
        </w:rPr>
      </w:pPr>
    </w:p>
    <w:p>
      <w:pPr>
        <w:widowControl/>
        <w:numPr>
          <w:ilvl w:val="0"/>
          <w:numId w:val="3"/>
        </w:numPr>
        <w:adjustRightInd w:val="0"/>
        <w:snapToGrid w:val="0"/>
        <w:spacing w:line="360" w:lineRule="auto"/>
        <w:ind w:firstLine="482" w:firstLineChars="200"/>
        <w:jc w:val="left"/>
        <w:rPr>
          <w:rFonts w:hint="eastAsia" w:ascii="宋体" w:hAnsi="宋体" w:eastAsia="宋体" w:cs="宋体"/>
          <w:b/>
          <w:bCs/>
          <w:sz w:val="24"/>
        </w:rPr>
      </w:pPr>
      <w:r>
        <w:rPr>
          <w:rFonts w:hint="eastAsia" w:ascii="宋体" w:hAnsi="宋体" w:eastAsia="宋体" w:cs="宋体"/>
          <w:b/>
          <w:bCs/>
          <w:sz w:val="24"/>
        </w:rPr>
        <w:t>项目概况</w:t>
      </w:r>
    </w:p>
    <w:p>
      <w:pPr>
        <w:widowControl/>
        <w:numPr>
          <w:ilvl w:val="0"/>
          <w:numId w:val="0"/>
        </w:numPr>
        <w:adjustRightInd w:val="0"/>
        <w:snapToGrid w:val="0"/>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详见竞争谈判公告。</w:t>
      </w:r>
    </w:p>
    <w:p>
      <w:pPr>
        <w:widowControl/>
        <w:adjustRightInd w:val="0"/>
        <w:snapToGrid w:val="0"/>
        <w:spacing w:line="360" w:lineRule="auto"/>
        <w:ind w:firstLine="482" w:firstLineChars="200"/>
        <w:jc w:val="left"/>
        <w:rPr>
          <w:rFonts w:ascii="宋体" w:hAnsi="宋体" w:eastAsia="宋体" w:cs="宋体"/>
          <w:b/>
          <w:bCs/>
          <w:sz w:val="24"/>
        </w:rPr>
      </w:pPr>
      <w:r>
        <w:rPr>
          <w:rFonts w:hint="eastAsia" w:ascii="宋体" w:hAnsi="宋体" w:eastAsia="宋体" w:cs="宋体"/>
          <w:b/>
          <w:bCs/>
          <w:sz w:val="24"/>
        </w:rPr>
        <w:t>2. 成果要求</w:t>
      </w:r>
    </w:p>
    <w:p>
      <w:pPr>
        <w:widowControl/>
        <w:spacing w:line="480" w:lineRule="exact"/>
        <w:ind w:firstLine="480" w:firstLineChars="200"/>
        <w:jc w:val="left"/>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产品安装调试完毕后，供货方应就产品的安装、调试、操作、维修、保养等对采购方维修技术人员及操作人员进行培训，直至采购方的技术人员能独立操作，同时能完成一般常见故障的维修工作。所需的费用包括在投标总价格中。</w:t>
      </w:r>
    </w:p>
    <w:p>
      <w:pPr>
        <w:pStyle w:val="29"/>
        <w:ind w:firstLine="240" w:firstLineChars="100"/>
        <w:rPr>
          <w:rFonts w:hint="eastAsia" w:ascii="宋体" w:hAnsi="宋体" w:eastAsia="宋体" w:cs="宋体"/>
          <w:b/>
          <w:bCs/>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 xml:space="preserve"> </w:t>
      </w:r>
      <w:r>
        <w:rPr>
          <w:rFonts w:hint="eastAsia" w:ascii="宋体" w:hAnsi="宋体" w:eastAsia="宋体" w:cs="宋体"/>
          <w:b/>
          <w:bCs/>
          <w:color w:val="auto"/>
          <w:kern w:val="2"/>
          <w:sz w:val="24"/>
          <w:szCs w:val="24"/>
          <w:highlight w:val="none"/>
          <w:lang w:val="en-US" w:eastAsia="zh-CN" w:bidi="ar-SA"/>
        </w:rPr>
        <w:t xml:space="preserve"> 3.服务要求</w:t>
      </w:r>
    </w:p>
    <w:p>
      <w:pPr>
        <w:widowControl/>
        <w:spacing w:line="480" w:lineRule="exact"/>
        <w:ind w:firstLine="480" w:firstLineChars="200"/>
        <w:jc w:val="left"/>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3.1质保期内供货方应免费负责产品维修及抢修，且不能以差旅、住宿等理由要求采购方支付其他任何费用。供应商需在响应文件中承诺在质保期内若发现故障，售后人员须1个小时内响应，在2小时内到现场，对产品进行维修或更换，如因特殊原因导致不能现场完成维修或更换的，乙方最迟应于1个工作日内完成维修或更换。如乙方未在前述期限内到场或未在前述期限内完成维修或更换的，甲方有权另行委托任何第三方进行维修或更换，由此产生的费用均由乙方承担。如货物经3次维修仍不能达到本合同约定的质量标准，则采购人有权要求成交人免费更换新机或退货，并有权要求乙方支付应退换的采购产品同等金额的违约金。</w:t>
      </w:r>
    </w:p>
    <w:p>
      <w:pPr>
        <w:widowControl/>
        <w:spacing w:line="480" w:lineRule="exact"/>
        <w:ind w:firstLine="480" w:firstLineChars="200"/>
        <w:jc w:val="left"/>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3.2质保期满后，若产品出现故障且采购人委托成交人维修的，中标人将无条件负责维修好产品且只收取更换零配件费用。</w:t>
      </w:r>
    </w:p>
    <w:p>
      <w:pPr>
        <w:widowControl/>
        <w:spacing w:line="480" w:lineRule="exact"/>
        <w:ind w:firstLine="480" w:firstLineChars="200"/>
        <w:jc w:val="left"/>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3.3如有涉及到软件需要升级的产品，供货方需免费提供升级服务。（费用包含在投标总价）</w:t>
      </w:r>
    </w:p>
    <w:p>
      <w:pPr>
        <w:pStyle w:val="47"/>
        <w:ind w:firstLine="482" w:firstLineChars="200"/>
        <w:rPr>
          <w:rFonts w:hint="default"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4.技术参数要求</w:t>
      </w:r>
    </w:p>
    <w:tbl>
      <w:tblPr>
        <w:tblStyle w:val="21"/>
        <w:tblW w:w="846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84"/>
        <w:gridCol w:w="1488"/>
        <w:gridCol w:w="1020"/>
        <w:gridCol w:w="1170"/>
        <w:gridCol w:w="36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84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abs>
                <w:tab w:val="left" w:pos="3359"/>
              </w:tabs>
              <w:jc w:val="left"/>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ab/>
            </w:r>
            <w:r>
              <w:rPr>
                <w:rFonts w:hint="eastAsia" w:ascii="微软雅黑" w:hAnsi="微软雅黑" w:eastAsia="微软雅黑" w:cs="微软雅黑"/>
                <w:b/>
                <w:bCs/>
                <w:i w:val="0"/>
                <w:iCs w:val="0"/>
                <w:color w:val="000000"/>
                <w:kern w:val="0"/>
                <w:sz w:val="36"/>
                <w:szCs w:val="36"/>
                <w:u w:val="none"/>
                <w:lang w:val="en-US" w:eastAsia="zh-CN" w:bidi="ar"/>
              </w:rPr>
              <w:t>会议室一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序号</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设备名称</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数量</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单位</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招标技术参数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84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b/>
                <w:bCs/>
                <w:i w:val="0"/>
                <w:iCs w:val="0"/>
                <w:color w:val="000000"/>
                <w:kern w:val="0"/>
                <w:sz w:val="20"/>
                <w:szCs w:val="20"/>
                <w:u w:val="none"/>
                <w:lang w:val="en-US" w:eastAsia="zh-CN" w:bidi="ar"/>
              </w:rPr>
              <w:t>音频系统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音柱扬声器</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49" name="图片_1"/>
                  <wp:cNvGraphicFramePr/>
                  <a:graphic xmlns:a="http://schemas.openxmlformats.org/drawingml/2006/main">
                    <a:graphicData uri="http://schemas.openxmlformats.org/drawingml/2006/picture">
                      <pic:pic xmlns:pic="http://schemas.openxmlformats.org/drawingml/2006/picture">
                        <pic:nvPicPr>
                          <pic:cNvPr id="49" name="图片_1"/>
                          <pic:cNvPicPr/>
                        </pic:nvPicPr>
                        <pic:blipFill>
                          <a:blip r:embed="rId10"/>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50" name="图片_1_SpCnt_1"/>
                  <wp:cNvGraphicFramePr/>
                  <a:graphic xmlns:a="http://schemas.openxmlformats.org/drawingml/2006/main">
                    <a:graphicData uri="http://schemas.openxmlformats.org/drawingml/2006/picture">
                      <pic:pic xmlns:pic="http://schemas.openxmlformats.org/drawingml/2006/picture">
                        <pic:nvPicPr>
                          <pic:cNvPr id="50" name="图片_1_SpCnt_1"/>
                          <pic:cNvPicPr/>
                        </pic:nvPicPr>
                        <pic:blipFill>
                          <a:blip r:embed="rId11"/>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70" name="图片_1_SpCnt_2"/>
                  <wp:cNvGraphicFramePr/>
                  <a:graphic xmlns:a="http://schemas.openxmlformats.org/drawingml/2006/main">
                    <a:graphicData uri="http://schemas.openxmlformats.org/drawingml/2006/picture">
                      <pic:pic xmlns:pic="http://schemas.openxmlformats.org/drawingml/2006/picture">
                        <pic:nvPicPr>
                          <pic:cNvPr id="70" name="图片_1_SpCnt_2"/>
                          <pic:cNvPicPr/>
                        </pic:nvPicPr>
                        <pic:blipFill>
                          <a:blip r:embed="rId12"/>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59" name="图片_1_SpCnt_3"/>
                  <wp:cNvGraphicFramePr/>
                  <a:graphic xmlns:a="http://schemas.openxmlformats.org/drawingml/2006/main">
                    <a:graphicData uri="http://schemas.openxmlformats.org/drawingml/2006/picture">
                      <pic:pic xmlns:pic="http://schemas.openxmlformats.org/drawingml/2006/picture">
                        <pic:nvPicPr>
                          <pic:cNvPr id="59" name="图片_1_SpCnt_3"/>
                          <pic:cNvPicPr/>
                        </pic:nvPicPr>
                        <pic:blipFill>
                          <a:blip r:embed="rId13"/>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54" name="图片_1_SpCnt_4"/>
                  <wp:cNvGraphicFramePr/>
                  <a:graphic xmlns:a="http://schemas.openxmlformats.org/drawingml/2006/main">
                    <a:graphicData uri="http://schemas.openxmlformats.org/drawingml/2006/picture">
                      <pic:pic xmlns:pic="http://schemas.openxmlformats.org/drawingml/2006/picture">
                        <pic:nvPicPr>
                          <pic:cNvPr id="54" name="图片_1_SpCnt_4"/>
                          <pic:cNvPicPr/>
                        </pic:nvPicPr>
                        <pic:blipFill>
                          <a:blip r:embed="rId14"/>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56" name="图片_1_SpCnt_5"/>
                  <wp:cNvGraphicFramePr/>
                  <a:graphic xmlns:a="http://schemas.openxmlformats.org/drawingml/2006/main">
                    <a:graphicData uri="http://schemas.openxmlformats.org/drawingml/2006/picture">
                      <pic:pic xmlns:pic="http://schemas.openxmlformats.org/drawingml/2006/picture">
                        <pic:nvPicPr>
                          <pic:cNvPr id="56" name="图片_1_SpCnt_5"/>
                          <pic:cNvPicPr/>
                        </pic:nvPicPr>
                        <pic:blipFill>
                          <a:blip r:embed="rId15"/>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68" name="图片_1_SpCnt_6"/>
                  <wp:cNvGraphicFramePr/>
                  <a:graphic xmlns:a="http://schemas.openxmlformats.org/drawingml/2006/main">
                    <a:graphicData uri="http://schemas.openxmlformats.org/drawingml/2006/picture">
                      <pic:pic xmlns:pic="http://schemas.openxmlformats.org/drawingml/2006/picture">
                        <pic:nvPicPr>
                          <pic:cNvPr id="68" name="图片_1_SpCnt_6"/>
                          <pic:cNvPicPr/>
                        </pic:nvPicPr>
                        <pic:blipFill>
                          <a:blip r:embed="rId16"/>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52" name="图片_1_SpCnt_7"/>
                  <wp:cNvGraphicFramePr/>
                  <a:graphic xmlns:a="http://schemas.openxmlformats.org/drawingml/2006/main">
                    <a:graphicData uri="http://schemas.openxmlformats.org/drawingml/2006/picture">
                      <pic:pic xmlns:pic="http://schemas.openxmlformats.org/drawingml/2006/picture">
                        <pic:nvPicPr>
                          <pic:cNvPr id="52" name="图片_1_SpCnt_7"/>
                          <pic:cNvPicPr/>
                        </pic:nvPicPr>
                        <pic:blipFill>
                          <a:blip r:embed="rId17"/>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60" name="图片_1_SpCnt_8"/>
                  <wp:cNvGraphicFramePr/>
                  <a:graphic xmlns:a="http://schemas.openxmlformats.org/drawingml/2006/main">
                    <a:graphicData uri="http://schemas.openxmlformats.org/drawingml/2006/picture">
                      <pic:pic xmlns:pic="http://schemas.openxmlformats.org/drawingml/2006/picture">
                        <pic:nvPicPr>
                          <pic:cNvPr id="60" name="图片_1_SpCnt_8"/>
                          <pic:cNvPicPr/>
                        </pic:nvPicPr>
                        <pic:blipFill>
                          <a:blip r:embed="rId18"/>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69" name="图片_1_SpCnt_9"/>
                  <wp:cNvGraphicFramePr/>
                  <a:graphic xmlns:a="http://schemas.openxmlformats.org/drawingml/2006/main">
                    <a:graphicData uri="http://schemas.openxmlformats.org/drawingml/2006/picture">
                      <pic:pic xmlns:pic="http://schemas.openxmlformats.org/drawingml/2006/picture">
                        <pic:nvPicPr>
                          <pic:cNvPr id="69" name="图片_1_SpCnt_9"/>
                          <pic:cNvPicPr/>
                        </pic:nvPicPr>
                        <pic:blipFill>
                          <a:blip r:embed="rId19"/>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71" name="图片_1_SpCnt_10"/>
                  <wp:cNvGraphicFramePr/>
                  <a:graphic xmlns:a="http://schemas.openxmlformats.org/drawingml/2006/main">
                    <a:graphicData uri="http://schemas.openxmlformats.org/drawingml/2006/picture">
                      <pic:pic xmlns:pic="http://schemas.openxmlformats.org/drawingml/2006/picture">
                        <pic:nvPicPr>
                          <pic:cNvPr id="71" name="图片_1_SpCnt_10"/>
                          <pic:cNvPicPr/>
                        </pic:nvPicPr>
                        <pic:blipFill>
                          <a:blip r:embed="rId20"/>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66" name="图片_1_SpCnt_11"/>
                  <wp:cNvGraphicFramePr/>
                  <a:graphic xmlns:a="http://schemas.openxmlformats.org/drawingml/2006/main">
                    <a:graphicData uri="http://schemas.openxmlformats.org/drawingml/2006/picture">
                      <pic:pic xmlns:pic="http://schemas.openxmlformats.org/drawingml/2006/picture">
                        <pic:nvPicPr>
                          <pic:cNvPr id="66" name="图片_1_SpCnt_11"/>
                          <pic:cNvPicPr/>
                        </pic:nvPicPr>
                        <pic:blipFill>
                          <a:blip r:embed="rId21"/>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67" name="图片_1_SpCnt_12"/>
                  <wp:cNvGraphicFramePr/>
                  <a:graphic xmlns:a="http://schemas.openxmlformats.org/drawingml/2006/main">
                    <a:graphicData uri="http://schemas.openxmlformats.org/drawingml/2006/picture">
                      <pic:pic xmlns:pic="http://schemas.openxmlformats.org/drawingml/2006/picture">
                        <pic:nvPicPr>
                          <pic:cNvPr id="67" name="图片_1_SpCnt_12"/>
                          <pic:cNvPicPr/>
                        </pic:nvPicPr>
                        <pic:blipFill>
                          <a:blip r:embed="rId22"/>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72" name="图片_1_SpCnt_13"/>
                  <wp:cNvGraphicFramePr/>
                  <a:graphic xmlns:a="http://schemas.openxmlformats.org/drawingml/2006/main">
                    <a:graphicData uri="http://schemas.openxmlformats.org/drawingml/2006/picture">
                      <pic:pic xmlns:pic="http://schemas.openxmlformats.org/drawingml/2006/picture">
                        <pic:nvPicPr>
                          <pic:cNvPr id="72" name="图片_1_SpCnt_13"/>
                          <pic:cNvPicPr/>
                        </pic:nvPicPr>
                        <pic:blipFill>
                          <a:blip r:embed="rId23"/>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61" name="图片_1_SpCnt_14"/>
                  <wp:cNvGraphicFramePr/>
                  <a:graphic xmlns:a="http://schemas.openxmlformats.org/drawingml/2006/main">
                    <a:graphicData uri="http://schemas.openxmlformats.org/drawingml/2006/picture">
                      <pic:pic xmlns:pic="http://schemas.openxmlformats.org/drawingml/2006/picture">
                        <pic:nvPicPr>
                          <pic:cNvPr id="61" name="图片_1_SpCnt_14"/>
                          <pic:cNvPicPr/>
                        </pic:nvPicPr>
                        <pic:blipFill>
                          <a:blip r:embed="rId24"/>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53" name="图片_1_SpCnt_15"/>
                  <wp:cNvGraphicFramePr/>
                  <a:graphic xmlns:a="http://schemas.openxmlformats.org/drawingml/2006/main">
                    <a:graphicData uri="http://schemas.openxmlformats.org/drawingml/2006/picture">
                      <pic:pic xmlns:pic="http://schemas.openxmlformats.org/drawingml/2006/picture">
                        <pic:nvPicPr>
                          <pic:cNvPr id="53" name="图片_1_SpCnt_15"/>
                          <pic:cNvPicPr/>
                        </pic:nvPicPr>
                        <pic:blipFill>
                          <a:blip r:embed="rId25"/>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73" name="图片_1_SpCnt_16"/>
                  <wp:cNvGraphicFramePr/>
                  <a:graphic xmlns:a="http://schemas.openxmlformats.org/drawingml/2006/main">
                    <a:graphicData uri="http://schemas.openxmlformats.org/drawingml/2006/picture">
                      <pic:pic xmlns:pic="http://schemas.openxmlformats.org/drawingml/2006/picture">
                        <pic:nvPicPr>
                          <pic:cNvPr id="73" name="图片_1_SpCnt_16"/>
                          <pic:cNvPicPr/>
                        </pic:nvPicPr>
                        <pic:blipFill>
                          <a:blip r:embed="rId26"/>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78" name="图片_1_SpCnt_17"/>
                  <wp:cNvGraphicFramePr/>
                  <a:graphic xmlns:a="http://schemas.openxmlformats.org/drawingml/2006/main">
                    <a:graphicData uri="http://schemas.openxmlformats.org/drawingml/2006/picture">
                      <pic:pic xmlns:pic="http://schemas.openxmlformats.org/drawingml/2006/picture">
                        <pic:nvPicPr>
                          <pic:cNvPr id="78" name="图片_1_SpCnt_17"/>
                          <pic:cNvPicPr/>
                        </pic:nvPicPr>
                        <pic:blipFill>
                          <a:blip r:embed="rId27"/>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62" name="图片_1_SpCnt_18"/>
                  <wp:cNvGraphicFramePr/>
                  <a:graphic xmlns:a="http://schemas.openxmlformats.org/drawingml/2006/main">
                    <a:graphicData uri="http://schemas.openxmlformats.org/drawingml/2006/picture">
                      <pic:pic xmlns:pic="http://schemas.openxmlformats.org/drawingml/2006/picture">
                        <pic:nvPicPr>
                          <pic:cNvPr id="62" name="图片_1_SpCnt_18"/>
                          <pic:cNvPicPr/>
                        </pic:nvPicPr>
                        <pic:blipFill>
                          <a:blip r:embed="rId28"/>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63" name="图片_1_SpCnt_19"/>
                  <wp:cNvGraphicFramePr/>
                  <a:graphic xmlns:a="http://schemas.openxmlformats.org/drawingml/2006/main">
                    <a:graphicData uri="http://schemas.openxmlformats.org/drawingml/2006/picture">
                      <pic:pic xmlns:pic="http://schemas.openxmlformats.org/drawingml/2006/picture">
                        <pic:nvPicPr>
                          <pic:cNvPr id="63" name="图片_1_SpCnt_19"/>
                          <pic:cNvPicPr/>
                        </pic:nvPicPr>
                        <pic:blipFill>
                          <a:blip r:embed="rId29"/>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74" name="图片_1_SpCnt_20"/>
                  <wp:cNvGraphicFramePr/>
                  <a:graphic xmlns:a="http://schemas.openxmlformats.org/drawingml/2006/main">
                    <a:graphicData uri="http://schemas.openxmlformats.org/drawingml/2006/picture">
                      <pic:pic xmlns:pic="http://schemas.openxmlformats.org/drawingml/2006/picture">
                        <pic:nvPicPr>
                          <pic:cNvPr id="74" name="图片_1_SpCnt_20"/>
                          <pic:cNvPicPr/>
                        </pic:nvPicPr>
                        <pic:blipFill>
                          <a:blip r:embed="rId30"/>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75" name="图片_1_SpCnt_21"/>
                  <wp:cNvGraphicFramePr/>
                  <a:graphic xmlns:a="http://schemas.openxmlformats.org/drawingml/2006/main">
                    <a:graphicData uri="http://schemas.openxmlformats.org/drawingml/2006/picture">
                      <pic:pic xmlns:pic="http://schemas.openxmlformats.org/drawingml/2006/picture">
                        <pic:nvPicPr>
                          <pic:cNvPr id="75" name="图片_1_SpCnt_21"/>
                          <pic:cNvPicPr/>
                        </pic:nvPicPr>
                        <pic:blipFill>
                          <a:blip r:embed="rId31"/>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64" name="图片_1_SpCnt_22"/>
                  <wp:cNvGraphicFramePr/>
                  <a:graphic xmlns:a="http://schemas.openxmlformats.org/drawingml/2006/main">
                    <a:graphicData uri="http://schemas.openxmlformats.org/drawingml/2006/picture">
                      <pic:pic xmlns:pic="http://schemas.openxmlformats.org/drawingml/2006/picture">
                        <pic:nvPicPr>
                          <pic:cNvPr id="64" name="图片_1_SpCnt_22"/>
                          <pic:cNvPicPr/>
                        </pic:nvPicPr>
                        <pic:blipFill>
                          <a:blip r:embed="rId32"/>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76" name="图片_1_SpCnt_23"/>
                  <wp:cNvGraphicFramePr/>
                  <a:graphic xmlns:a="http://schemas.openxmlformats.org/drawingml/2006/main">
                    <a:graphicData uri="http://schemas.openxmlformats.org/drawingml/2006/picture">
                      <pic:pic xmlns:pic="http://schemas.openxmlformats.org/drawingml/2006/picture">
                        <pic:nvPicPr>
                          <pic:cNvPr id="76" name="图片_1_SpCnt_23"/>
                          <pic:cNvPicPr/>
                        </pic:nvPicPr>
                        <pic:blipFill>
                          <a:blip r:embed="rId33"/>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77" name="图片_1_SpCnt_24"/>
                  <wp:cNvGraphicFramePr/>
                  <a:graphic xmlns:a="http://schemas.openxmlformats.org/drawingml/2006/main">
                    <a:graphicData uri="http://schemas.openxmlformats.org/drawingml/2006/picture">
                      <pic:pic xmlns:pic="http://schemas.openxmlformats.org/drawingml/2006/picture">
                        <pic:nvPicPr>
                          <pic:cNvPr id="77" name="图片_1_SpCnt_24"/>
                          <pic:cNvPicPr/>
                        </pic:nvPicPr>
                        <pic:blipFill>
                          <a:blip r:embed="rId34"/>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58" name="图片_1_SpCnt_25"/>
                  <wp:cNvGraphicFramePr/>
                  <a:graphic xmlns:a="http://schemas.openxmlformats.org/drawingml/2006/main">
                    <a:graphicData uri="http://schemas.openxmlformats.org/drawingml/2006/picture">
                      <pic:pic xmlns:pic="http://schemas.openxmlformats.org/drawingml/2006/picture">
                        <pic:nvPicPr>
                          <pic:cNvPr id="58" name="图片_1_SpCnt_25"/>
                          <pic:cNvPicPr/>
                        </pic:nvPicPr>
                        <pic:blipFill>
                          <a:blip r:embed="rId35"/>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65" name="图片_1_SpCnt_26"/>
                  <wp:cNvGraphicFramePr/>
                  <a:graphic xmlns:a="http://schemas.openxmlformats.org/drawingml/2006/main">
                    <a:graphicData uri="http://schemas.openxmlformats.org/drawingml/2006/picture">
                      <pic:pic xmlns:pic="http://schemas.openxmlformats.org/drawingml/2006/picture">
                        <pic:nvPicPr>
                          <pic:cNvPr id="65" name="图片_1_SpCnt_26"/>
                          <pic:cNvPicPr/>
                        </pic:nvPicPr>
                        <pic:blipFill>
                          <a:blip r:embed="rId36"/>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51" name="图片_1_SpCnt_27"/>
                  <wp:cNvGraphicFramePr/>
                  <a:graphic xmlns:a="http://schemas.openxmlformats.org/drawingml/2006/main">
                    <a:graphicData uri="http://schemas.openxmlformats.org/drawingml/2006/picture">
                      <pic:pic xmlns:pic="http://schemas.openxmlformats.org/drawingml/2006/picture">
                        <pic:nvPicPr>
                          <pic:cNvPr id="51" name="图片_1_SpCnt_27"/>
                          <pic:cNvPicPr/>
                        </pic:nvPicPr>
                        <pic:blipFill>
                          <a:blip r:embed="rId37"/>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lang w:val="en-US" w:eastAsia="zh-CN" w:bidi="ar"/>
              </w:rPr>
              <w:t>1.频率范围 (-10 dB) :115 Hz - 18 kHz</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2.频率响应 (±3 dB) :120 Hz - 18 kHz</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3.灵敏度 (1w@1m)1 :96 dB</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4.额定阻抗 :16 Ohms</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5.峰值最大声压级2 :120 dB</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6.额定功率 :100W / 200W / 400W</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(连续/节目/峰值)</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7.覆盖角 (H x V) : 100o x 15o</w:t>
            </w:r>
          </w:p>
          <w:p>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8.中/高音单元 : 4 x 3", Φ0.8"音圈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功率放大器</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1.8Ω立体 :350W*2  4Ω立体 :550W*2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2.阻尼 :&gt; 300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3.频响 :20 Hz-20 kHz, +0/-0.5 dB</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4..失真 :&lt; 0.05%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5..信噪比 :≥ 96 dB</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6.分离度 :&gt; 60 dB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7.灵敏度 :0.775v/1.0v/32dB</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8.阻抗 :20kΩ/10kΩ(平衡/非平衡)</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9.冷却 :抽风向后吹出</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10.保护 :软启动，VHF，直流，短路，过载</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11.失真限幅，过热，开机音量渐大</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12.功能 :红黑接线柱，NL4 Speakon插座</w:t>
            </w:r>
          </w:p>
          <w:p>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13.面板 :指示灯:信号，削峰，保护，电源指示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模拟调音台</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1.8路单声道输入和 2 个立体声输入</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2.精细、超线性的 GB30 话筒前置放大器</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3.为电容话筒提供真正专业的 +48V 幻象电源</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4.2 路辅助输出，全部可用开关切换到推子前或推子后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5.总谐波失真：＜0.007%</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6.频响：（20Hz-20KHz）+1dB/-3dB</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7.话筒输入的等效输入噪声：22Hz-22KHz不加权-128dB（信源内阻150Ω）</w:t>
            </w:r>
          </w:p>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8.母线噪声：20Hz-20KHz宽带线路输入, 终端负载为150Ω, RMS（有效值）测量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音频处理器</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1.模拟输入 :2 x XLR 平衡式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2.模拟输出 :6 x XLR 平衡式 最小负载 :100Ω</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3.最大输入电平 :20dBu</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4.最大输出电平 :18dBu</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5.总谐波失真 :≦ 0.003%</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6.信噪比 :≧ 113dB</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7.频响 :20Hz~20kHz (±0.5dB)</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8.AD &amp; DA 动态范围 :118dB</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9.采样率 :96kHz</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10.噪声发生器 :白噪声/粉红噪声，电平范围：‐30dBu~+10dBu</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11.全通滤波器 :1/2 阶可选择FIR 滤波器 :＞500tap 可选择</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12.延时 :每个输入通道 + 输出通道可调延迟时间为 510ms，步进精度 0.014ms (10.4us)</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13.底噪 :≦ ‐95dBu （A 计权）</w:t>
            </w:r>
          </w:p>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14.控制接口 :网络控制口*1 个；RS485 控制口*2 个；USB 控制口*1 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top"/>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反馈抑制器</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该反馈抑制系统具有全自动检测现成啸叫点功能，通过DSP系统对声音进行过滤，高速有效的抑制消叫，有效提升本地扩音声压和清晰度。</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系统设计灵活多变，具备4路万能输入接口，2路平衡输出接口，配有线路输入输出莲花接口，调试简单方便。</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每通道具有48V幻象电源，本产品主要针对现代化教学、会议、庭审的录音和远程会议通话专门研究开发。</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4路万能输入接口,每路有独立48V供电</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有高、中、低电平可调。</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面板配有电平显示，可显示当前工作状态与信号电平大小</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面板一键专业数字反馈抑制模块,直通/反馈模式可转换，无需调式，增加话筒拾音距离 30-100CM以上</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面板一键快速校准，还原声音的保真度，从而有效抑制更多的反射成分</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标准1U机箱，高档拉丝铝合金面板。</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1路线路输入莲花接口</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1路线路输出莲花接口</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面板有系统信号音量大小调节</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面板有线路输入信号音量大小调节</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1.7吋TFT彩屏显示屏,监控输出电平一目了然</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技术参数：</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供电方式：AC~220V，50Hz</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消耗功率：30W</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频率响应：20Hz~20KHz</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采样率：32KHz</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THD:&lt;0.1%@1KHz</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信噪比：&gt;90dB</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信号延时：11ms</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CMRR：&gt;25dB（50Hz~20KHz）</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输入阻抗： 话筒输入:47KΩ，线路输入:10KΩ，</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音乐输入:10KΩ，远程输入:10KΩ</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输出阻抗： 主输出:220Ω，线路输出:1KΩ，</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录音输出:1KΩ，远程输出:1KΩ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6</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手持无线话筒</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1.载波频段:UHF610～920MHz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2.通道数:双通道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3.接收方式:真分集接收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4.调制方式:FM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5.振荡方式:PLL相位锁定频率合成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6.灵敏度:在偏移度等于25kHz，输入6dBv时，S／N&gt;60dB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7.最大偏移度:±45kHZ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8.综合S/N比:&gt;105dB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9.综合T.H.D:&lt;0．7％@1KHz。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10.综合频率响应:45Hz～18kHz±3dB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11.供电:DC12V～16V 10W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12.输出插座:XLR平行式及6.3不平行式插座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13.工作有效距离:100～200米(空阔地方)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14.无线发射机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15.载波频段:UHF610～920MHZ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16.振荡方式:PLL相位锁定频率合成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17.谐波幅射:&lt;65dBm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18.最大偏移度:±45kHz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19.频率响应:45HZ～18kHz±3dB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20.RF功率输出:10MW </w:t>
            </w:r>
          </w:p>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21.拾音头:动圈式／电容式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0" w:hRule="atLeast"/>
        </w:trPr>
        <w:tc>
          <w:tcPr>
            <w:tcW w:w="118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数字会议系统主机</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1.通过面板导航键盘可对所有会议功能进行集中控制。</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2.采用高速RISC嵌入式数字处理硬件架构，使系统运行速度和稳定性达到了空前水平。</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3.采用全数字音频处理技术，所有通道的声音进行CD品质处理。</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4.2.8英寸LCD，中、英文菜单显示，可按需订购任意语言。</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5.内置输入、输出数字音量调节,对系统输入、输出的信号进行人性化调节。</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6.多种话筒管理模式，满足各类会议需求：数量限制、先进先出、申请发言、声控启动、自由模式。</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★7.支持投票评分等功能，配合PC软件可以实现基本的签到、议程管理等。需提供中国赛宝实验室颁发的软件测试报告证明，报告提供复印件，加盖原厂鲜章。</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★8.支持四路总线输出，每路总线支持不低于120台数字会议发言单元；可级联扩展主机，整个系统可海纳65535台单元。</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9.支持各种摄像联动功能模式。视像联动时，单一话筒关闭，自动跟踪到前一个单元，全部话筒关闭时自动返回到预设全景。</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10.支持话筒关闭，自动发送中控指令功能。</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11.支持摄像头控制功能，可通过软件远程控制摄像机功能。</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★12.可选配专业音频DSP模块，实现话筒和音箱的分区处理和分区控制。</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★13.智能会议中心（具有存储介质和音频处理功能），金属外壳，其输入120-240VAC，50/60HZ,5A。需提供国家强制性产品认证实验报告复印件，加盖原厂鲜章证明。</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★14.本产品是具备6针数字接口，RJ45接口、RS232串口、凤凰端子音频接口、XLR卡侬音</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频接口等。可与阵列话筒会议单元、显示器、摄像机、有源麦克风、功放等连接，来实</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现对音频信号的处理。需提供国家强制性产品认证实验报告复印件，加盖原厂鲜章证明。</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15.协议共享，兼容所有目前流行的摄像机类型，单元的位置互相调换时，通过自动编号可自动修正跟踪单元视频，始终保持正确的跟踪位置。</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16.支持扩展线路增益器，以延长主机至发言单元的距离，最远距离可达到150米。</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★17.支持同时开启话筒数量不低于6只。</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18.可选配4进2出SDI高清无缝切换矩阵，支持高清1080P 60HZ  3G-SDI视频接入，带有电子条标显示功能，带有短消息推送功能，支持画面无缝4分割，切换无黑屏，并实现电子会标、滚动字幕等功能。</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19.可选配分区主机和3G-SDI高清无缝视频切换模块，实现话筒和音箱分区和高清无缝切换。</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20.可通过软件巡检话筒工作状态及故障报错功能。</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21.支持软件统一管理，可在后台开启或关闭任意话筒，软件应支持房间布置图，可图形化显示话筒布置方式。</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22.软件应支持自定义主席机配置功能，可根据现场需要，临时定义任意单元为主席单元。</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★23.提供生产厂家授权书及贰年售后承诺书；</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24.具有“知识产权管理体系认证证书”、“2019年度广东省守合同重信用企业”、“信息技术应用创新工作委员会会员单位”、“中关村电子商会会员单位”、“数字会议十大品牌（数字音视工程网）”证书，提供以上全部证书复印件，加盖原厂鲜章。</w:t>
            </w:r>
          </w:p>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★25.具有CMA、CNAS质量检测报告复印件，并加盖原厂鲜章。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0" w:hRule="atLeast"/>
        </w:trPr>
        <w:tc>
          <w:tcPr>
            <w:tcW w:w="118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数字会议话筒单元</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304800" cy="300355"/>
                  <wp:effectExtent l="0" t="0" r="0" b="0"/>
                  <wp:wrapNone/>
                  <wp:docPr id="55" name="AutoShape_1"/>
                  <wp:cNvGraphicFramePr/>
                  <a:graphic xmlns:a="http://schemas.openxmlformats.org/drawingml/2006/main">
                    <a:graphicData uri="http://schemas.openxmlformats.org/drawingml/2006/picture">
                      <pic:pic xmlns:pic="http://schemas.openxmlformats.org/drawingml/2006/picture">
                        <pic:nvPicPr>
                          <pic:cNvPr id="55" name="AutoShape_1"/>
                          <pic:cNvPicPr/>
                        </pic:nvPicPr>
                        <pic:blipFill>
                          <a:blip r:embed="rId38"/>
                          <a:stretch>
                            <a:fillRect/>
                          </a:stretch>
                        </pic:blipFill>
                        <pic:spPr>
                          <a:xfrm>
                            <a:off x="0" y="0"/>
                            <a:ext cx="304800" cy="300355"/>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304800" cy="315595"/>
                  <wp:effectExtent l="0" t="0" r="0" b="0"/>
                  <wp:wrapNone/>
                  <wp:docPr id="57" name="AutoShape_1_SpCnt_1"/>
                  <wp:cNvGraphicFramePr/>
                  <a:graphic xmlns:a="http://schemas.openxmlformats.org/drawingml/2006/main">
                    <a:graphicData uri="http://schemas.openxmlformats.org/drawingml/2006/picture">
                      <pic:pic xmlns:pic="http://schemas.openxmlformats.org/drawingml/2006/picture">
                        <pic:nvPicPr>
                          <pic:cNvPr id="57" name="AutoShape_1_SpCnt_1"/>
                          <pic:cNvPicPr/>
                        </pic:nvPicPr>
                        <pic:blipFill>
                          <a:blip r:embed="rId39"/>
                          <a:stretch>
                            <a:fillRect/>
                          </a:stretch>
                        </pic:blipFill>
                        <pic:spPr>
                          <a:xfrm>
                            <a:off x="0" y="0"/>
                            <a:ext cx="304800" cy="315595"/>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18"/>
                <w:szCs w:val="18"/>
                <w:u w:val="none"/>
                <w:lang w:val="en-US" w:eastAsia="zh-CN" w:bidi="ar"/>
              </w:rPr>
              <w:t>产品特性：</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1、话筒主要应用于高端会议、广播、报告厅等专业场合；</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★2、内置不低于14毫米直径顶级金膜高保真麦克风音头；</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★3、外形尺寸不大于200mm咪杆，发言时不会遮挡发言人脸部，发言姿势自由，使会议轻松便捷；</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★4、高灵敏度设计，不低于 -36 dB，且有效拾音距离不低于1m；</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5、CNC铝合金高光边一体化设计，精致典雅的台面式结构，符合人体工程学，极具现代气息；</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6、话筒面板应支持自定义企业LOGO激光雕刻工艺；</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7、话筒可调仰角-50°至45°（水平）；</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8、超心型指向特征；</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 有效收音角度100°，可以防止邻近话筒干扰和抑制啸叫；</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10、内置高性能 CPU，处理速度更快，音质更佳；</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11、单元背面配备磁性贴合材料的桌牌；</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12、1个3.5 mm 的立体声耳机插口可连接耳机；</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13、单元连接：会议系统专用6芯线，可选用双编织网+铝箔全屏蔽不低于7.5mm的加粗线缆，任意发言单元出现故障，不影响系统正常使用，有效保证会议顺利进行；</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14、可通过软件远程管理控制任意一只麦克的开启和关闭，可以根据会议现场布置在软件上模拟原型，方便管理；</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★15、支持自定义主席机配置功能，可根据现场需要，临时定义任意单元为主席单元。</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★16、提供生产产商彩页资料，加盖厂商鲜章；</w:t>
            </w:r>
          </w:p>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★17、需提供CMA、CNAS质量检测报告复印件，加盖原厂鲜章，以备查。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118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9</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6芯会议屏蔽专用T型线（公－公－母）</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条</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1.会议系统20米主线，用于会议系统主机与话筒之间的连接</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2.直径：5.5mm</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3.线芯：6芯</w:t>
            </w:r>
          </w:p>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4.屏蔽：绕线+铝箔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118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10</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会议系统专用延长线缆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条</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1.会议系统20米主线，用于会议系统主机与话筒之间的连接</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2.直径：5.5mm</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3.线芯：6芯</w:t>
            </w:r>
          </w:p>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4.屏蔽：绕线+铝箔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时序电源</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1.即可控制单个通道操作，也可控制多个通道顺序操作</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2.最大输入电流：60A</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3.具有RS232、RS485和触点控制等多种控制接口</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4.通道数：8</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5.最大输入电流：60A</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6.控制方式：RS232、RS485、I/O、面板开关</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7.供电要求：交流175-245V</w:t>
            </w:r>
          </w:p>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8.整机功耗：＜25W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集中充电柜</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台</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kern w:val="0"/>
                <w:sz w:val="18"/>
                <w:szCs w:val="18"/>
                <w:u w:val="none"/>
                <w:lang w:val="en-US" w:eastAsia="zh-CN" w:bidi="ar"/>
              </w:rPr>
            </w:pPr>
            <w:r>
              <w:rPr>
                <w:rFonts w:hint="eastAsia" w:ascii="微软雅黑" w:hAnsi="微软雅黑" w:eastAsia="微软雅黑" w:cs="微软雅黑"/>
                <w:i w:val="0"/>
                <w:iCs w:val="0"/>
                <w:color w:val="auto"/>
                <w:kern w:val="0"/>
                <w:sz w:val="18"/>
                <w:szCs w:val="18"/>
                <w:u w:val="none"/>
                <w:lang w:val="en-US" w:eastAsia="zh-CN" w:bidi="ar"/>
              </w:rPr>
              <w:t>1、手机充电柜usb接口ipad平板电脑充电柜教室壁挂存放柜保管柜 30位2A平板电脑精品充电柜2层带轮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专业机柜</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个</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18"/>
                <w:szCs w:val="18"/>
                <w:u w:val="none"/>
              </w:rPr>
            </w:pPr>
            <w:r>
              <w:rPr>
                <w:rFonts w:hint="eastAsia" w:ascii="微软雅黑" w:hAnsi="微软雅黑" w:eastAsia="微软雅黑" w:cs="微软雅黑"/>
                <w:i w:val="0"/>
                <w:iCs w:val="0"/>
                <w:color w:val="auto"/>
                <w:kern w:val="0"/>
                <w:sz w:val="18"/>
                <w:szCs w:val="18"/>
                <w:u w:val="none"/>
                <w:lang w:val="en-US" w:eastAsia="zh-CN" w:bidi="ar"/>
              </w:rPr>
              <w:t>1.加厚，前后开门，散热良好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辅材</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批</w:t>
            </w:r>
          </w:p>
        </w:tc>
        <w:tc>
          <w:tcPr>
            <w:tcW w:w="3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1.音箱线，音频线，接插头、转换线、转换插头等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846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b/>
                <w:bCs/>
                <w:i w:val="0"/>
                <w:iCs w:val="0"/>
                <w:color w:val="000000"/>
                <w:kern w:val="0"/>
                <w:sz w:val="20"/>
                <w:szCs w:val="20"/>
                <w:u w:val="none"/>
                <w:lang w:val="en-US" w:eastAsia="zh-CN" w:bidi="ar"/>
              </w:rPr>
              <w:t>显示系统+远程会议系统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top"/>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会议摄像机</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3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1.USB即插即用，兼容主流视讯平台，无需额外安装驱动；</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2.支持1080P 全高清图像，输出帧频达30fps；</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3.搭载松下1/2.8英寸、207万有效像素 HD CMOS传感器；</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4.采用12倍高清无损光学变焦镜头，支持16倍数字变焦；</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5.全方位云台旋转，可实现340 °平移和60°俯仰；</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6.支持多种安装方式，可选择放于桌面、安装至三脚架，或支架配件将其安装于墙面及天花板吊顶上；</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7.遥控器可调用预置位多达10个；</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8.视频分辨率 1080P/30, 1080P/25, 720P/30, 720P/25等；</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9.镜头 12x, f3.5mm ~ 42.3mm, F1.8 ~ F2.8；</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10.支持背光补偿</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11.支持 2D&amp;3D数字降噪</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12.支持水平、垂直翻转</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13.支持图像冻结</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14.色彩空间/压缩YUY2 / H.264 / MJPEG</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15.USB接口 , USB 2.0, B型插座</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16.USB视频通信协议 UVC 1.1，支持UVC PTZ控制 ；</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17.具备RS232接口，支持VISCA/Pelco-D/Pelco-P等协议；</w:t>
            </w:r>
          </w:p>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18.平均无故障时间&gt;30000小时；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全向麦克风</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3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1.人性化埋线设计，USB即插即用，兼容主流会议软件，免驱设计；</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2.支持多麦克风阵列级联技术，级联方式 POE网线级联；</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3.支持噪声抑制、回声抑制、混响抑制和自动增益控制功能；</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4.设备为一体化设计，内置8单元全向MEMS麦克风和高保真扬声器；</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5.支持全双工通话；</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6.支持360°空间指向阵列，单台设备8单元全向MEMS麦克风， 级联后最多40单元全向MEMS麦克风；</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7.单台设备有效拾音距离≤5米；</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 灵敏度 -26dBFS 94dB SPL@1kHz</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11.信噪比 65dBA@20kHz bandwidth,A-weighted</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12.支持 波束成形</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13.最大背景噪声抑制 18dB</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14.回声消除 最大回声耦合损耗≥56dB</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15.自动增益控制 最大回声耦合损耗≥56dB</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16.单台设备支持USB type-c进行供电和数据传输，无需外接电源；</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17.具备功能按键，可通过键实现接听和挂断通话、音量调节、麦克风静音功能；</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18.具备多种接口，包括USB2.0 type-c、RJ45和电源接口；</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19.扬声器额定输出功率4Ω/3W；</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20.扬声器有效频率范围≤170Hz ~20kHz，音量为:  82±3dB (500,600,800,1200Hz) @1W/1m；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846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微软雅黑" w:hAnsi="微软雅黑" w:eastAsia="微软雅黑" w:cs="微软雅黑"/>
                <w:b/>
                <w:bCs/>
                <w:i w:val="0"/>
                <w:iCs w:val="0"/>
                <w:color w:val="000000"/>
                <w:kern w:val="0"/>
                <w:sz w:val="20"/>
                <w:szCs w:val="20"/>
                <w:u w:val="none"/>
                <w:lang w:val="en-US" w:eastAsia="zh-CN" w:bidi="ar"/>
              </w:rPr>
            </w:pPr>
            <w:r>
              <w:rPr>
                <w:rFonts w:hint="eastAsia" w:ascii="微软雅黑" w:hAnsi="微软雅黑" w:eastAsia="微软雅黑" w:cs="微软雅黑"/>
                <w:b/>
                <w:bCs/>
                <w:i w:val="0"/>
                <w:iCs w:val="0"/>
                <w:color w:val="000000"/>
                <w:kern w:val="0"/>
                <w:sz w:val="20"/>
                <w:szCs w:val="20"/>
                <w:u w:val="none"/>
                <w:lang w:val="en-US" w:eastAsia="zh-CN" w:bidi="ar"/>
              </w:rPr>
              <w:t>无纸化系统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无纸化终端软件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应急功能：终端具备故障应急功能，军工级设计保障，当服务器与后台所有设备断线或瘫痪时，无须后台进行故障迁移或启用备份主机，终端依旧可以对所有终端进行同屏同步显示、异步浏览、跟踪主讲等信号交互操作；（投标时需提供经中国计量认证（简称：CMA）和中国合格评定国家认可委员会（简称：CNAS）认证的检测机构出具的功能性检测报告复印件并加盖原厂鲜章）</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2.支持参会人员在会议进行中将U盘内的会议文件直接上传至相关的会议议题目录，并分发至其它与会终端，无需登陆或访问后台管理系统进行上传并分发文件；</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3.支持U盘内的会议文件在任何界面下可直接同步到其他与会终端或大屏幕同步显示；</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支持无纸化会议终端在windows任何界面下通过一键广播（包含CAD格式文件），把当前画面广播其它参会终端与大屏幕或只同屏到大屏幕显示，并且同步延迟小于0.6秒，并支持高清视频文件没有任何延迟的同步广播，拒绝三四步的繁琐操作，让与会者进行更便捷的人性化体验操作；                                                                                                                                                                                                          5.支持主讲人在广播画面时其他与会者同步无延时跟踪主讲人的鼠标指针，方便其他与会者更清楚的看到主讲人汇报文件的具体位置；</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6.同步画面支持分组讨论，发起者可以选择把屏幕画面同步给会场的某一个人或多个人，会议分组讨论支持不少于4组同步画面，与会者可以选择进入某个讨论组的同步画面；</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7.支持同屏申请功能，发起同步的与会人员需得到主持人同意后才能同步画面到其他会议终端，主持人可强制结束会场同步画面；</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8.终端软件具备功能包括人名显示、会议信息、会议议程、会议议题、签到、投票表决、电子白板、会议服务、会议交流、我的电脑、网页浏览、会议申请、分组同步、视频直播等功能；</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支持协同操作功能，主讲人发起屏幕广播后其他参会人员可同时批注主讲人的同步的源文件画面，同时支持其参会者远程操作主讲人屏幕画面，包括：放大、缩小、标注字体颜色、翻页等功能；（投标时需提供经中国计量认证（简称：CMA）和中国合格评定国家认可委员会（简称：CNAS）认证的检测机构出具的功能性检测报告复印件并加盖原厂鲜章）</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10.具备会议快捷功能悬浮窗显示。软件功能具备在任何页面的快捷操作,快捷功能浮动窗口显示,需要时弹出,不需要时自动隐藏,浮动窗口内快捷按键具备:快捷批注、协同操作、屏幕广播、跟踪主讲、返回桌面、结束广播、返回系统等操作按键；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11.保密模式:为保证会议文件不外泄，支持第三方保密软件与智能无纸化会议系统完美对接。保密会议模式下，终端在不运行无纸化会议系统软件前提下，实现对终端屏幕的任何屏幕画面的同步广播、异步浏览、跟踪主讲、批注等功能，达到真正的无纸化会议信号自由交互与互联互通功能；（投标时需提供经中国计量认证（简称：CMA）和中国合格评定国家认可委员会（简称：CNAS）认证的检测机构出具的功能性检测报告复印件并加盖原厂鲜章）</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12.支持主席机一键式切换远程视频会议画面同步到所有会议终端并且显示延迟小于0.6秒；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★13.临时文件:具备参会者在任何一个席位将临时U盘内的windows所有格式文件(需含word、ppt、 Excel、高清视频、CAD等文件)直接跳转到盘根目录，选择文件上传至指定的会议议题目录里，无需登陆或访问后台管理系统进行上传并分发文件，也可直接打开U盘内该文件同步到其他参会终端与大屏幕显示；（投标时需提供经中国计量认证（简称：CMA）和中国合格评定国家认可委员会（简称：CNAS）认证的检测机构出具的功能性检测报告复印件并加盖原厂鲜章）</w:t>
            </w:r>
          </w:p>
          <w:p>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14.投标时需提供国家版权局颁发的无纸化终端软件、会议文件智能分发软件、交互批注软件、会议呼叫软件、电子白板软件、会议签到软件著作权登记证书复印件（并加盖原厂鲜章）用以证明厂商提供的产品能实现本系统功能要求，并以此证明厂商提供的非盗版或侵权软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无纸化控制主机</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1.外型尺寸：标准19U机架式4U</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2.CPU：Intel i5 四核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3.内存：4G DDR3 1600MHZ</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4.硬盘：1T机械式硬盘</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5.接口：USB2.0*4、6声道HD音频输出、HDMI*1、VGA*1、DVI*1</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6.网口：1000M                                                                                                                                                                               7.机箱面板材质： 航空铝阳极氧化拉丝工艺，结构坚固，防尘，减震，防静电，防辐射；                                                                                                           8.输入电压为交流220V±10%V，满载最大功率1000W；                                                                                                                                             9.工作环境温度0-50摄氏度；                                                                                                                                                                 10.相对湿度：≤75%；                                                                                                                                                                    11.重量：15kg，箱体颜色：黑色。</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13.系统软件具备多会议室管理操作,同时具备跨网络管理多个远程会议室,多个会议室具备独立召开会议,同时具备多个会议室合并召开会议;；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14.控制软件权限分类包括：主席机、投票、免签、广播、异步浏览、文件查看、议题查看等权限选择；</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15.控制软件具备多场会议预置功能：具备同一会议室预置多场会议，根据实际会议情况分别上传本会议室中各会议的参会人员、会议文件、欢迎界面、设置会议标语等；</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16.为确保产品的稳定性投标时生产厂商必须提供含有无纸化会议控制服务器的3C认证证书并且同时提供IS09001标准质量管理体系认证证书、ISO14001标准环境管理体系认证证书复印件并加盖原厂鲜章（证书必须含有无纸化会议控制服务器）等字样；</w:t>
            </w:r>
          </w:p>
          <w:p>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★17.为确保会议信息的安全性，投标时需提供与无纸化会议设备开发相关的信息安全管理体系认证证书复印件并加盖原厂鲜章；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无纸化控制软件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1.控制软件具备议题自动与手动修改显示顺序，同时具备指定议题下的文件自动或手动修改显示排列顺序；</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2.控制软件具备功能模块包括：人名显示、模拟排位、终端控制、会议议程、会议信息、视频直播、读取U盘、我的电脑、网页浏览、电子白板、会议服务、会议交流、同屏申请、分组同步、签到、投票表决等模块操作，不同会议可采用不同的会议功能模块按需定制，本次会议不需要的功能终端会自动屏蔽显示；（需提供经中国计量认证（简称：CMA）和中国合格评定国家认可委员会（简称：CNAS）认证的检测机构出具的功能性检测报告复印件并加盖原厂鲜章）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3.控制软件具备多管理员同时操作功能，各个管理员之间互不干扰，文件相互保密，管理界面独立并且所有数据独立完成保存与设置；</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4.支持会前准备（设置主席机与代表机、添加参会人员、设置欢迎词、设置会议主题、安排参会人员座位、上传会议资料并设置文件权限、添加投票并选择参与投票人员）；</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5.会中控制（支持签到、文件智能分发、会议同屏互动演示、外部信号到终端显示、终端任意画面上大屏幕、会议服务、会议投票、会议交流、交互式电子白板）、会后保存功能；</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后台管理软件具备三权分立功能。会议管理人员负责管理所有人员的账号密码；安全保密管理员负责本单位或部门会议的建立，参会人权限设置和会后文件的保管等；安全审计员负责整个系统的会议审批和会议议程安排，具备不同权限管理模式，含会务人员、系统管理人员、不同会务人员创建的会议互相保密，系统管理员有管理所有会议的权限；（需提供经中国计量认证（简称：CMA）和中国合格评定国家认可委员会（简称：CNAS）认证的检测机构出具的功能性检测报告复印件并加盖原厂鲜章）</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7.管理人员远程登录系统后具备统一控制升降器统全部升降或分别升降，控制终端统一开关机或分别开关机</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多会议议题文件查看功能。参会者在议题下面可以建立子议题，本议题下面文件与子议题文件相辅相成，互相补充，并可以直接点击查看，无需返回或退出等二三步繁琐操作，系统软件具备文件夹整体上传，会议议题并自动按文件夹名称显示，文件夹内的会议文件按附件进行排列显示，文件夹内支撑下级文件夹或多级文件夹；（需提供经中国计量认证（简称：CMA）和中国合格评定国家认可委员会（简称：CNAS）认证的检测机构出具的功能性检测报告复印件并加盖原厂鲜章）</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政府会议：按照政府会议流程下发展现会议文件，不同议题显示不同参会人员名单，并通过侯会软件，语音播报下一议题的会议信息，包括会议主题，参会人员，开会时间，主持人等信息；（需提供经中国计量认证（简称：CMA）和中国合格评定国家认可委员会（简称：CNAS）认证的检测机构出具的功能性检测报告复印件并加盖原厂鲜章）</w:t>
            </w:r>
          </w:p>
          <w:p>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10.投标供应商需提供国家版权局颁发的模拟排位系统软件、无纸化会议控制软件、智慧无纸化系统软件、多会议室管理系统软件、会议通知软件著作权登记证书复印件（并加盖原厂鲜章），用以证明厂商提供的产品能实现本系统功能要求，并以此证明厂商提供的非盗版或侵权软件；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无纸化解码器</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准机柜2U高度,硬件配置：工业级主板，CPU处理器主频≥2.5GHz，内存容量≥8GB，硬盘容量≥64G固态硬盘，机箱面板材质：航空铝阳极氧化拉丝工艺，结构坚固，防尘，减震，防静电，防辐射；输入电压为交流220V±10%V，满载最大功率1000W，工作环境温度0-50摄氏度，相对湿度：≤75%，重量：15kg，箱体颜色：黑色；</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2.支持HDMI、DVI、VGA信号输出，任何终端画面通过此接口输出至任何显示设备；</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会标功能：当会场无同步信号时，输出接口输出画面为会议欢迎标语，会议欢迎标语背景颜色与字体字号可根据会议要求自行设置，满足会场实际需求，避免大屏幕和投影机待机状态和无信号输入状态，显示会议标语通过主席机统一控制，主席机可通过会议进程切换不同的会议标语；（需提供经中国计量认证（简称：CMA）和中国合格评定国家认可委员会（简称：CNAS）认证的检测机构出具的功能性检测报告复印件并加盖原厂鲜章）</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支持对外部HDMI高清视频信号进行编码，转换为网络信号进行传送到每个终端。支持对终端网络信号进行解码，传送到会议室的终端及显示设备，同时具备强大的编码及解码功能，可以把视频信号转换为网络信号进行传送到每个终端，亦可以把网络信号转换成视频信号显示到大屏幕或投影机；（需提供经中国计量认证（简称：CMA）和中国合格评定国家认可委员会（简称：CNAS）认证的检测机构出具的功能性检测报告复印件并加盖原厂鲜章）</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5.支持音频输入，当外部笔记本在播放带有音频的文件时，声音可以通过此设备解码音频信号并完成输出到会议音响设备进行扩声；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6.具备外部信号同屏到所有会议终端并同步显示的功能，延迟时间不超过0.5秒（外部信号包括：矩阵送来的视频信号，计算机信号，笔记本信号，摄像头信号，DVD信号等）；</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★7.生产厂商需提供国家版权局颁发的一键同屏软件、画面分割控制软件著作权登记证书复印件（并加盖原厂鲜章），用以证明厂商提供的产品能实现本系统功能要求，并以此证明厂商提供的非盗版或侵权软件；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为确保产品的稳定性投标时生产厂商必须提供含有信号交互服务器的3C认证证书并且同时提供IS09001标准质量管理体系认证证书、ISO14001标准环境管理体系认证证书复印件并加盖原厂鲜章（证书必须含有信号交互服务器）等字样；</w:t>
            </w:r>
          </w:p>
          <w:p>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★9为确保厂家的稳定性，投标时需提供向用户交付无纸化会议设备运行维护的信息技术服务管理体系认证证书复印件并加盖原厂鲜章；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5</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无线路由器</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1.企业级无线路由器，稳定可靠，主要给平板单元信息联网通讯，采用ICP/IP通信协议，在同一网段内，平板单元与无线AP进行WIFI连接。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6</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显示器，无线键鼠</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1.用于操作无纸化控制主机及无纸化编解码器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7</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HDMI线</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根</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1.一根20米HDMI2.0版高清线影院布线款                                         2.0.75米-3米支持2.0版4K*2K，60HZ</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3.5米-30米支持1.4版4K*2K，30HZ</w:t>
            </w:r>
          </w:p>
          <w:p>
            <w:pPr>
              <w:keepNext w:val="0"/>
              <w:keepLines w:val="0"/>
              <w:widowControl/>
              <w:suppressLineNumbers w:val="0"/>
              <w:jc w:val="left"/>
              <w:textAlignment w:val="top"/>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4.支持1920*1080，60Hz                                                  工程线带磁环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网线</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批</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六类或超五类网线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846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b/>
                <w:bCs/>
                <w:i w:val="0"/>
                <w:iCs w:val="0"/>
                <w:color w:val="000000"/>
                <w:kern w:val="0"/>
                <w:sz w:val="20"/>
                <w:szCs w:val="20"/>
                <w:u w:val="none"/>
                <w:lang w:val="en-US" w:eastAsia="zh-CN" w:bidi="ar"/>
              </w:rPr>
              <w:t>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安装调试</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支</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1.集成安装</w:t>
            </w:r>
          </w:p>
        </w:tc>
      </w:tr>
    </w:tbl>
    <w:p>
      <w:pPr>
        <w:pStyle w:val="47"/>
        <w:rPr>
          <w:rFonts w:ascii="仿宋_GB2312" w:hAnsi="仿宋_GB2312" w:eastAsia="仿宋_GB2312" w:cs="仿宋_GB2312"/>
          <w:color w:val="auto"/>
          <w:sz w:val="24"/>
          <w:szCs w:val="24"/>
          <w:highlight w:val="none"/>
        </w:rPr>
      </w:pPr>
    </w:p>
    <w:p>
      <w:pPr>
        <w:pStyle w:val="47"/>
        <w:rPr>
          <w:rFonts w:ascii="仿宋_GB2312" w:hAnsi="仿宋_GB2312" w:eastAsia="仿宋_GB2312" w:cs="仿宋_GB2312"/>
          <w:color w:val="auto"/>
          <w:sz w:val="24"/>
          <w:szCs w:val="24"/>
          <w:highlight w:val="none"/>
        </w:rPr>
      </w:pPr>
    </w:p>
    <w:p>
      <w:pPr>
        <w:pStyle w:val="47"/>
        <w:rPr>
          <w:rFonts w:ascii="仿宋_GB2312" w:hAnsi="仿宋_GB2312" w:eastAsia="仿宋_GB2312" w:cs="仿宋_GB2312"/>
          <w:color w:val="auto"/>
          <w:sz w:val="24"/>
          <w:szCs w:val="24"/>
          <w:highlight w:val="none"/>
        </w:rPr>
      </w:pPr>
    </w:p>
    <w:p>
      <w:pPr>
        <w:pStyle w:val="47"/>
        <w:rPr>
          <w:rFonts w:ascii="仿宋_GB2312" w:hAnsi="仿宋_GB2312" w:eastAsia="仿宋_GB2312" w:cs="仿宋_GB2312"/>
          <w:color w:val="auto"/>
          <w:sz w:val="24"/>
          <w:szCs w:val="24"/>
          <w:highlight w:val="none"/>
        </w:rPr>
      </w:pPr>
    </w:p>
    <w:p>
      <w:pPr>
        <w:pStyle w:val="47"/>
        <w:rPr>
          <w:rFonts w:ascii="仿宋_GB2312" w:hAnsi="仿宋_GB2312" w:eastAsia="仿宋_GB2312" w:cs="仿宋_GB2312"/>
          <w:color w:val="auto"/>
          <w:sz w:val="24"/>
          <w:szCs w:val="24"/>
          <w:highlight w:val="none"/>
        </w:rPr>
      </w:pPr>
    </w:p>
    <w:p>
      <w:pPr>
        <w:pStyle w:val="47"/>
        <w:rPr>
          <w:rFonts w:ascii="仿宋_GB2312" w:hAnsi="仿宋_GB2312" w:eastAsia="仿宋_GB2312" w:cs="仿宋_GB2312"/>
          <w:color w:val="auto"/>
          <w:sz w:val="24"/>
          <w:szCs w:val="24"/>
          <w:highlight w:val="none"/>
        </w:rPr>
      </w:pPr>
    </w:p>
    <w:p>
      <w:pPr>
        <w:pStyle w:val="47"/>
        <w:rPr>
          <w:rFonts w:ascii="仿宋_GB2312" w:hAnsi="仿宋_GB2312" w:eastAsia="仿宋_GB2312" w:cs="仿宋_GB2312"/>
          <w:color w:val="auto"/>
          <w:sz w:val="24"/>
          <w:szCs w:val="24"/>
          <w:highlight w:val="none"/>
        </w:rPr>
      </w:pPr>
    </w:p>
    <w:p>
      <w:pPr>
        <w:pStyle w:val="47"/>
        <w:rPr>
          <w:rFonts w:ascii="仿宋_GB2312" w:hAnsi="仿宋_GB2312" w:eastAsia="仿宋_GB2312" w:cs="仿宋_GB2312"/>
          <w:color w:val="auto"/>
          <w:sz w:val="24"/>
          <w:szCs w:val="24"/>
          <w:highlight w:val="none"/>
        </w:rPr>
      </w:pPr>
    </w:p>
    <w:p>
      <w:pPr>
        <w:pStyle w:val="47"/>
        <w:rPr>
          <w:rFonts w:ascii="仿宋_GB2312" w:hAnsi="仿宋_GB2312" w:eastAsia="仿宋_GB2312" w:cs="仿宋_GB2312"/>
          <w:color w:val="auto"/>
          <w:sz w:val="24"/>
          <w:szCs w:val="24"/>
          <w:highlight w:val="none"/>
        </w:rPr>
      </w:pPr>
    </w:p>
    <w:p>
      <w:pPr>
        <w:pStyle w:val="47"/>
        <w:rPr>
          <w:rFonts w:ascii="仿宋_GB2312" w:hAnsi="仿宋_GB2312" w:eastAsia="仿宋_GB2312" w:cs="仿宋_GB2312"/>
          <w:color w:val="auto"/>
          <w:sz w:val="24"/>
          <w:szCs w:val="24"/>
          <w:highlight w:val="none"/>
        </w:rPr>
      </w:pPr>
    </w:p>
    <w:tbl>
      <w:tblPr>
        <w:tblStyle w:val="21"/>
        <w:tblW w:w="85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92"/>
        <w:gridCol w:w="1444"/>
        <w:gridCol w:w="1024"/>
        <w:gridCol w:w="1005"/>
        <w:gridCol w:w="36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85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b/>
                <w:bCs/>
                <w:i w:val="0"/>
                <w:iCs w:val="0"/>
                <w:color w:val="000000"/>
                <w:kern w:val="0"/>
                <w:sz w:val="36"/>
                <w:szCs w:val="36"/>
                <w:u w:val="none"/>
                <w:lang w:val="en-US" w:eastAsia="zh-CN" w:bidi="ar"/>
              </w:rPr>
              <w:t>会议室二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85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b/>
                <w:bCs/>
                <w:i w:val="0"/>
                <w:iCs w:val="0"/>
                <w:color w:val="000000"/>
                <w:kern w:val="0"/>
                <w:sz w:val="36"/>
                <w:szCs w:val="36"/>
                <w:u w:val="none"/>
                <w:lang w:val="en-US" w:eastAsia="zh-CN" w:bidi="ar"/>
              </w:rPr>
            </w:pPr>
            <w:r>
              <w:rPr>
                <w:rFonts w:hint="eastAsia" w:ascii="微软雅黑" w:hAnsi="微软雅黑" w:eastAsia="微软雅黑" w:cs="微软雅黑"/>
                <w:b/>
                <w:bCs/>
                <w:i w:val="0"/>
                <w:iCs w:val="0"/>
                <w:color w:val="000000"/>
                <w:kern w:val="0"/>
                <w:sz w:val="20"/>
                <w:szCs w:val="20"/>
                <w:u w:val="none"/>
                <w:lang w:val="en-US" w:eastAsia="zh-CN" w:bidi="ar"/>
              </w:rPr>
              <w:t>显示系统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序号</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设备名称</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数量</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单位</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技术参数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会标屏</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 </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 像素间距 3 (mm)</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2、 支持前拆前维护和后拆后维护功能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3、 模组平整度：≤0.15mm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4、 支持单点亮度和色度校正</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5、 支持单点亮度和色度校正，更换模组，自动回读校正数据</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6、 白平衡亮度≤400-800cd/㎡（校正后）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7、 色温可调范围：3000k~10000k，并可自定义色温值</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 对比度5000:1</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9、 视角：水平视角160°，垂直视角140°</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10、 刷新频率3840HZ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11、 换帧频率：50&amp;60HZ</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12、 灰度：100%亮度 16bit灰度，20%亮度 12bit灰度</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13、 模组亮度均匀性97%</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14、 峰值功耗422W/㎡</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15、 寿命典型值50000小时</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16、 工作温度范围-10℃-40℃</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17、 存储温度范围-20℃-60℃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2</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万能移动支架</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 </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after="200" w:afterAutospacing="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1.黑色商务外观,颜色：黑色</w:t>
            </w:r>
          </w:p>
          <w:p>
            <w:pPr>
              <w:keepNext w:val="0"/>
              <w:keepLines w:val="0"/>
              <w:widowControl/>
              <w:suppressLineNumbers w:val="0"/>
              <w:spacing w:after="200" w:afterAutospacing="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2.适用尺寸：65-85寸</w:t>
            </w:r>
          </w:p>
          <w:p>
            <w:pPr>
              <w:keepNext w:val="0"/>
              <w:keepLines w:val="0"/>
              <w:widowControl/>
              <w:suppressLineNumbers w:val="0"/>
              <w:spacing w:after="200" w:afterAutospacing="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3.支架轮子：万向轮、四轮可锁</w:t>
            </w:r>
          </w:p>
          <w:p>
            <w:pPr>
              <w:keepNext w:val="0"/>
              <w:keepLines w:val="0"/>
              <w:widowControl/>
              <w:suppressLineNumbers w:val="0"/>
              <w:spacing w:after="200" w:afterAutospacing="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4.产品材质:优质冷轧板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3</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50寸主席台辅助显示器</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 </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1.50寸商业显示器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4</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万能移动支架</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 </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1.落地带轮返看电视推车。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5</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挂装显示器吊架及背架</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4 </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1.壁挂伸缩平板挂架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6</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投影幕布</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 xml:space="preserve">1 </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条</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0"/>
                <w:szCs w:val="20"/>
                <w:u w:val="none"/>
                <w:lang w:val="en-US" w:eastAsia="zh-CN" w:bidi="ar-SA"/>
              </w:rPr>
            </w:pPr>
            <w:r>
              <w:rPr>
                <w:rFonts w:hint="eastAsia" w:ascii="微软雅黑" w:hAnsi="微软雅黑" w:eastAsia="微软雅黑" w:cs="微软雅黑"/>
                <w:i w:val="0"/>
                <w:iCs w:val="0"/>
                <w:color w:val="000000"/>
                <w:kern w:val="0"/>
                <w:sz w:val="20"/>
                <w:szCs w:val="20"/>
                <w:u w:val="none"/>
                <w:lang w:val="en-US" w:eastAsia="zh-CN" w:bidi="ar"/>
              </w:rPr>
              <w:t>1.预留电源 不安装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7</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40米光纤HDMI线</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 xml:space="preserve">10 </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根</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1.HDMI 2.0 光纤HDMI线   (2米与5米分别变成普通双绞线与普通双绞线+芯片）注意：所有长度具有方向性且仅支持单向传输  线芯：4芯光纤+7芯镀锡 铜外壳：锌合金  线径：4.8MM   支持最高分辨率：</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0"/>
                <w:szCs w:val="20"/>
                <w:u w:val="none"/>
                <w:lang w:val="en-US" w:eastAsia="zh-CN" w:bidi="ar-SA"/>
              </w:rPr>
            </w:pPr>
            <w:r>
              <w:rPr>
                <w:rFonts w:hint="eastAsia" w:ascii="微软雅黑" w:hAnsi="微软雅黑" w:eastAsia="微软雅黑" w:cs="微软雅黑"/>
                <w:i w:val="0"/>
                <w:iCs w:val="0"/>
                <w:color w:val="000000"/>
                <w:kern w:val="0"/>
                <w:sz w:val="20"/>
                <w:szCs w:val="20"/>
                <w:u w:val="none"/>
                <w:lang w:val="en-US" w:eastAsia="zh-CN" w:bidi="ar"/>
              </w:rPr>
              <w:t xml:space="preserve">3840*2160/60HZ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8</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30米HDMI线</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6</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根</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1.HDMI 2.0 光纤HDMI线   (2米与5米分别变成普通双绞线与普通双绞线+芯片）注意：所有长度具有方向性且仅支持单向传输  线芯：4芯光纤+7芯镀锡 铜外壳：锌合金  线径：4.8MM   支持最高分辨率：</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0"/>
                <w:szCs w:val="20"/>
                <w:u w:val="none"/>
                <w:lang w:val="en-US" w:eastAsia="zh-CN" w:bidi="ar-SA"/>
              </w:rPr>
            </w:pPr>
            <w:r>
              <w:rPr>
                <w:rFonts w:hint="eastAsia" w:ascii="微软雅黑" w:hAnsi="微软雅黑" w:eastAsia="微软雅黑" w:cs="微软雅黑"/>
                <w:i w:val="0"/>
                <w:iCs w:val="0"/>
                <w:color w:val="000000"/>
                <w:kern w:val="0"/>
                <w:sz w:val="20"/>
                <w:szCs w:val="20"/>
                <w:u w:val="none"/>
                <w:lang w:val="en-US" w:eastAsia="zh-CN" w:bidi="ar"/>
              </w:rPr>
              <w:t xml:space="preserve">3840*2160/60HZ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2"/>
                <w:sz w:val="20"/>
                <w:szCs w:val="20"/>
                <w:u w:val="none"/>
                <w:lang w:val="en-US" w:eastAsia="zh-CN" w:bidi="ar-SA"/>
              </w:rPr>
            </w:pPr>
            <w:r>
              <w:rPr>
                <w:rFonts w:hint="eastAsia" w:ascii="微软雅黑" w:hAnsi="微软雅黑" w:eastAsia="微软雅黑" w:cs="微软雅黑"/>
                <w:i w:val="0"/>
                <w:iCs w:val="0"/>
                <w:color w:val="000000"/>
                <w:kern w:val="2"/>
                <w:sz w:val="20"/>
                <w:szCs w:val="20"/>
                <w:u w:val="none"/>
                <w:lang w:val="en-US" w:eastAsia="zh-CN" w:bidi="ar-SA"/>
              </w:rPr>
              <w:t>9</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20米HDMI线</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6</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根</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1.HDMI 2.0 光纤HDMI线   (2米与5米分别变成普通双绞线与普通双绞线+芯片）注意：所有长度具有方向性且仅支持单向传输  线芯：4芯光纤+7芯镀锡 铜外壳：锌合金  线径：4.8MM   支持最高分辨率：</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0"/>
                <w:szCs w:val="20"/>
                <w:u w:val="none"/>
                <w:lang w:val="en-US" w:eastAsia="zh-CN" w:bidi="ar-SA"/>
              </w:rPr>
            </w:pPr>
            <w:r>
              <w:rPr>
                <w:rFonts w:hint="eastAsia" w:ascii="微软雅黑" w:hAnsi="微软雅黑" w:eastAsia="微软雅黑" w:cs="微软雅黑"/>
                <w:i w:val="0"/>
                <w:iCs w:val="0"/>
                <w:color w:val="000000"/>
                <w:kern w:val="0"/>
                <w:sz w:val="20"/>
                <w:szCs w:val="20"/>
                <w:u w:val="none"/>
                <w:lang w:val="en-US" w:eastAsia="zh-CN" w:bidi="ar"/>
              </w:rPr>
              <w:t xml:space="preserve">3840*2160/60HZ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10</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网线</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2 </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箱</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1.六类网线一箱，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地插</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9 </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2.网口*1，电源*1高清*1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8*8 HDMI视频矩阵</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 </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1.高清HDMI矩阵，标准机架设计，高度为1U；</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2.支持8路HDMI输入，8路HDMI输出，支持HDMI1.3协议，分辨率可达1920x1080@60Hz、1920x1200@60Hz；</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3.支持HDMI内嵌音频，支持LPCM 7.1CH, 杜比True HD, 杜比数字+和DTS-HD Master Audio 传输，支持音视频信号同步切换；</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4.每路输入接口均支持HDCP解析、可以完美兼容蓝光DVD等加密信号源；</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5.内置多种EDID数据可选，并能够现场读取后端显示设备的EDID，更好适应现场多样化的显示设备，提高兼容性；</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6.采用可视化触控按键，可以通过按键灯指示信号切换状态，同时首创两键式操作，让信号切换更加简单快捷，操作人员零基础就可以轻松掌握所有操作；</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7.支持可视化触控按键、RS-232以及遥控等多种控制方式；</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8.前面板LCD显示屏能够实时显示矩阵信号切换状态及系统配置；</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9.采用ESD静电防护设计，能承受人体放电模式:  ± 8kV (气隙放电)，± 4kV (接触放电)，有效地避免了静电对设备的干扰及损害；</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10.采用航空式螺旋电源接口，为电源的稳定性保驾护航。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5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远程会议系统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视频会议终端</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 </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1.Group 550-1080p 终端，遥控器、支持P+C双流,、支持PPCIP、线缆、1年的标准服务。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视频会议摄像机</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 </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1.电源：100V-240V AC 50-60HZ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2.功耗 &lt;24W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3.图像传感器：851像素1/2.5英寸CMOS图像传感器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4.分辨率：1080P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5.镜头变焦：12倍光学变焦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6.最大水平/垂直视角： 80º/50º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7.平移/俯仰角：+/-170º(平移)  +/-30º(俯仰)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8.预设位数量：254                                                </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9.视频输出：1×HDMI 1.4b接口（最高支持1080P60输出）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广角摄像灯</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 </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宝利通（POLYCOM）高清鹰眼镜头(与group550-1080P高清远程视频会议系统 终端配套使用)：四代鹰眼镜头,支持12倍光学变焦，水平分辨率1280x720P 50/60，1920x720P 50/60，视像分辨率1080P。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分配盒</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 </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1.专用分配盒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5</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视频采集卡</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套</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电脑视频采集卡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20"/>
                <w:szCs w:val="20"/>
                <w:u w:val="none"/>
                <w:lang w:val="en-US" w:eastAsia="zh-CN" w:bidi="ar-SA"/>
              </w:rPr>
            </w:pPr>
            <w:r>
              <w:rPr>
                <w:rFonts w:hint="eastAsia" w:ascii="微软雅黑" w:hAnsi="微软雅黑" w:eastAsia="微软雅黑" w:cs="微软雅黑"/>
                <w:i w:val="0"/>
                <w:iCs w:val="0"/>
                <w:color w:val="000000"/>
                <w:kern w:val="0"/>
                <w:sz w:val="20"/>
                <w:szCs w:val="20"/>
                <w:u w:val="none"/>
                <w:lang w:val="en-US" w:eastAsia="zh-CN" w:bidi="ar"/>
              </w:rPr>
              <w:t>6</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HDCI镜头线</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120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米</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1.宝利通专用HDCI镜头线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20"/>
                <w:szCs w:val="20"/>
                <w:u w:val="none"/>
                <w:lang w:val="en-US" w:eastAsia="zh-CN" w:bidi="ar-SA"/>
              </w:rPr>
            </w:pPr>
            <w:r>
              <w:rPr>
                <w:rFonts w:hint="eastAsia" w:ascii="微软雅黑" w:hAnsi="微软雅黑" w:eastAsia="微软雅黑" w:cs="微软雅黑"/>
                <w:i w:val="0"/>
                <w:iCs w:val="0"/>
                <w:color w:val="000000"/>
                <w:kern w:val="0"/>
                <w:sz w:val="20"/>
                <w:szCs w:val="20"/>
                <w:u w:val="none"/>
                <w:lang w:val="en-US" w:eastAsia="zh-CN" w:bidi="ar"/>
              </w:rPr>
              <w:t>7</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电源护套线</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2</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条</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kern w:val="2"/>
                <w:sz w:val="20"/>
                <w:szCs w:val="20"/>
                <w:u w:val="none"/>
                <w:lang w:val="en-US" w:eastAsia="zh-CN" w:bidi="ar-SA"/>
              </w:rPr>
            </w:pPr>
            <w:r>
              <w:rPr>
                <w:rFonts w:hint="eastAsia" w:ascii="微软雅黑" w:hAnsi="微软雅黑" w:eastAsia="微软雅黑" w:cs="微软雅黑"/>
                <w:i w:val="0"/>
                <w:iCs w:val="0"/>
                <w:color w:val="auto"/>
                <w:kern w:val="0"/>
                <w:sz w:val="20"/>
                <w:szCs w:val="20"/>
                <w:u w:val="none"/>
                <w:lang w:val="en-US" w:eastAsia="zh-CN" w:bidi="ar"/>
              </w:rPr>
              <w:t xml:space="preserve">1. 2×2.5平方rvv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85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扩声系统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主扩全频音箱</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1.采用垂直线性列阵设计，配备12 只2.25 英寸(57 毫米) 中/ 高频驱动单元</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2.特别适用用于对语言清晰度要求较高的室内扩声场所。对于全频段音乐表现，可加配低音扬声器。</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3.145° 宽广的水平声音扩散角，20度垂直扩散角，具备极佳的角度控制；</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4.可多个叠加使用，最多三个叠加</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5.输入接口包含两个并联的Neutrik Speakon®NL4 接口和一个两针的裸线接口。</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6.频率响应： 155Hz-12kHz(-3dB) / 100Hz-16kHz(-10dB)</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7.持续功率处理：300W 连续，1200W（峰值）</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8.阻抗：8Ω</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9.灵敏度：88dB-SPL,1W,1m</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10.最大声输出：113dB-SPL, 1m</w:t>
            </w:r>
          </w:p>
          <w:p>
            <w:pPr>
              <w:keepNext w:val="0"/>
              <w:keepLines w:val="0"/>
              <w:widowControl/>
              <w:suppressLineNumbers w:val="0"/>
              <w:jc w:val="left"/>
              <w:textAlignment w:val="top"/>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11.辐射角度：145º (H), 20°（V）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主扩功率放大器</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1.8Ω立体 :650W*2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2. 4Ω立体 :950W*2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3.阻尼 :&gt; 200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4.频响 :20 Hz-20 kHz, +0/-0.5 dB</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5.失真 :&lt; 0.05%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6.信噪比 :≥ 96 dB</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7.分离度 :&gt; 60 dB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8.灵敏度 :0.775v/1.0v/32dB</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9.阻抗 :20kΩ/10kΩ(平衡/非平衡)</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10.冷却 :抽风向后吹出</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11.保护 :软启动，VHF，直流，短路，过载</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12.失真限幅，过热，开机音量渐大</w:t>
            </w:r>
          </w:p>
          <w:p>
            <w:pPr>
              <w:keepNext w:val="0"/>
              <w:keepLines w:val="0"/>
              <w:widowControl/>
              <w:suppressLineNumbers w:val="0"/>
              <w:jc w:val="left"/>
              <w:textAlignment w:val="top"/>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13.功能 :红黑接线柱，NL4 Speakon插座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VE830墙装支架</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1.垂直0~20°可调.(5°步进插孔）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边界投射吸顶扬声器</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28" name="图片_1"/>
                  <wp:cNvGraphicFramePr/>
                  <a:graphic xmlns:a="http://schemas.openxmlformats.org/drawingml/2006/main">
                    <a:graphicData uri="http://schemas.openxmlformats.org/drawingml/2006/picture">
                      <pic:pic xmlns:pic="http://schemas.openxmlformats.org/drawingml/2006/picture">
                        <pic:nvPicPr>
                          <pic:cNvPr id="128" name="图片_1"/>
                          <pic:cNvPicPr/>
                        </pic:nvPicPr>
                        <pic:blipFill>
                          <a:blip r:embed="rId36"/>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21" name="图片_1_SpCnt_1"/>
                  <wp:cNvGraphicFramePr/>
                  <a:graphic xmlns:a="http://schemas.openxmlformats.org/drawingml/2006/main">
                    <a:graphicData uri="http://schemas.openxmlformats.org/drawingml/2006/picture">
                      <pic:pic xmlns:pic="http://schemas.openxmlformats.org/drawingml/2006/picture">
                        <pic:nvPicPr>
                          <pic:cNvPr id="121" name="图片_1_SpCnt_1"/>
                          <pic:cNvPicPr/>
                        </pic:nvPicPr>
                        <pic:blipFill>
                          <a:blip r:embed="rId12"/>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30" name="图片_1_SpCnt_2"/>
                  <wp:cNvGraphicFramePr/>
                  <a:graphic xmlns:a="http://schemas.openxmlformats.org/drawingml/2006/main">
                    <a:graphicData uri="http://schemas.openxmlformats.org/drawingml/2006/picture">
                      <pic:pic xmlns:pic="http://schemas.openxmlformats.org/drawingml/2006/picture">
                        <pic:nvPicPr>
                          <pic:cNvPr id="130" name="图片_1_SpCnt_2"/>
                          <pic:cNvPicPr/>
                        </pic:nvPicPr>
                        <pic:blipFill>
                          <a:blip r:embed="rId31"/>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23" name="图片_1_SpCnt_3"/>
                  <wp:cNvGraphicFramePr/>
                  <a:graphic xmlns:a="http://schemas.openxmlformats.org/drawingml/2006/main">
                    <a:graphicData uri="http://schemas.openxmlformats.org/drawingml/2006/picture">
                      <pic:pic xmlns:pic="http://schemas.openxmlformats.org/drawingml/2006/picture">
                        <pic:nvPicPr>
                          <pic:cNvPr id="123" name="图片_1_SpCnt_3"/>
                          <pic:cNvPicPr/>
                        </pic:nvPicPr>
                        <pic:blipFill>
                          <a:blip r:embed="rId25"/>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29" name="图片_1_SpCnt_4"/>
                  <wp:cNvGraphicFramePr/>
                  <a:graphic xmlns:a="http://schemas.openxmlformats.org/drawingml/2006/main">
                    <a:graphicData uri="http://schemas.openxmlformats.org/drawingml/2006/picture">
                      <pic:pic xmlns:pic="http://schemas.openxmlformats.org/drawingml/2006/picture">
                        <pic:nvPicPr>
                          <pic:cNvPr id="129" name="图片_1_SpCnt_4"/>
                          <pic:cNvPicPr/>
                        </pic:nvPicPr>
                        <pic:blipFill>
                          <a:blip r:embed="rId40"/>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31" name="图片_1_SpCnt_5"/>
                  <wp:cNvGraphicFramePr/>
                  <a:graphic xmlns:a="http://schemas.openxmlformats.org/drawingml/2006/main">
                    <a:graphicData uri="http://schemas.openxmlformats.org/drawingml/2006/picture">
                      <pic:pic xmlns:pic="http://schemas.openxmlformats.org/drawingml/2006/picture">
                        <pic:nvPicPr>
                          <pic:cNvPr id="131" name="图片_1_SpCnt_5"/>
                          <pic:cNvPicPr/>
                        </pic:nvPicPr>
                        <pic:blipFill>
                          <a:blip r:embed="rId14"/>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24" name="图片_1_SpCnt_6"/>
                  <wp:cNvGraphicFramePr/>
                  <a:graphic xmlns:a="http://schemas.openxmlformats.org/drawingml/2006/main">
                    <a:graphicData uri="http://schemas.openxmlformats.org/drawingml/2006/picture">
                      <pic:pic xmlns:pic="http://schemas.openxmlformats.org/drawingml/2006/picture">
                        <pic:nvPicPr>
                          <pic:cNvPr id="124" name="图片_1_SpCnt_6"/>
                          <pic:cNvPicPr/>
                        </pic:nvPicPr>
                        <pic:blipFill>
                          <a:blip r:embed="rId15"/>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32" name="图片_1_SpCnt_7"/>
                  <wp:cNvGraphicFramePr/>
                  <a:graphic xmlns:a="http://schemas.openxmlformats.org/drawingml/2006/main">
                    <a:graphicData uri="http://schemas.openxmlformats.org/drawingml/2006/picture">
                      <pic:pic xmlns:pic="http://schemas.openxmlformats.org/drawingml/2006/picture">
                        <pic:nvPicPr>
                          <pic:cNvPr id="132" name="图片_1_SpCnt_7"/>
                          <pic:cNvPicPr/>
                        </pic:nvPicPr>
                        <pic:blipFill>
                          <a:blip r:embed="rId16"/>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20" name="图片_1_SpCnt_8"/>
                  <wp:cNvGraphicFramePr/>
                  <a:graphic xmlns:a="http://schemas.openxmlformats.org/drawingml/2006/main">
                    <a:graphicData uri="http://schemas.openxmlformats.org/drawingml/2006/picture">
                      <pic:pic xmlns:pic="http://schemas.openxmlformats.org/drawingml/2006/picture">
                        <pic:nvPicPr>
                          <pic:cNvPr id="120" name="图片_1_SpCnt_8"/>
                          <pic:cNvPicPr/>
                        </pic:nvPicPr>
                        <pic:blipFill>
                          <a:blip r:embed="rId17"/>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22" name="图片_1_SpCnt_9"/>
                  <wp:cNvGraphicFramePr/>
                  <a:graphic xmlns:a="http://schemas.openxmlformats.org/drawingml/2006/main">
                    <a:graphicData uri="http://schemas.openxmlformats.org/drawingml/2006/picture">
                      <pic:pic xmlns:pic="http://schemas.openxmlformats.org/drawingml/2006/picture">
                        <pic:nvPicPr>
                          <pic:cNvPr id="122" name="图片_1_SpCnt_9"/>
                          <pic:cNvPicPr/>
                        </pic:nvPicPr>
                        <pic:blipFill>
                          <a:blip r:embed="rId18"/>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25" name="图片_1_SpCnt_10"/>
                  <wp:cNvGraphicFramePr/>
                  <a:graphic xmlns:a="http://schemas.openxmlformats.org/drawingml/2006/main">
                    <a:graphicData uri="http://schemas.openxmlformats.org/drawingml/2006/picture">
                      <pic:pic xmlns:pic="http://schemas.openxmlformats.org/drawingml/2006/picture">
                        <pic:nvPicPr>
                          <pic:cNvPr id="125" name="图片_1_SpCnt_10"/>
                          <pic:cNvPicPr/>
                        </pic:nvPicPr>
                        <pic:blipFill>
                          <a:blip r:embed="rId19"/>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26" name="图片_1_SpCnt_11"/>
                  <wp:cNvGraphicFramePr/>
                  <a:graphic xmlns:a="http://schemas.openxmlformats.org/drawingml/2006/main">
                    <a:graphicData uri="http://schemas.openxmlformats.org/drawingml/2006/picture">
                      <pic:pic xmlns:pic="http://schemas.openxmlformats.org/drawingml/2006/picture">
                        <pic:nvPicPr>
                          <pic:cNvPr id="126" name="图片_1_SpCnt_11"/>
                          <pic:cNvPicPr/>
                        </pic:nvPicPr>
                        <pic:blipFill>
                          <a:blip r:embed="rId30"/>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27" name="图片_1_SpCnt_12"/>
                  <wp:cNvGraphicFramePr/>
                  <a:graphic xmlns:a="http://schemas.openxmlformats.org/drawingml/2006/main">
                    <a:graphicData uri="http://schemas.openxmlformats.org/drawingml/2006/picture">
                      <pic:pic xmlns:pic="http://schemas.openxmlformats.org/drawingml/2006/picture">
                        <pic:nvPicPr>
                          <pic:cNvPr id="127" name="图片_1_SpCnt_12"/>
                          <pic:cNvPicPr/>
                        </pic:nvPicPr>
                        <pic:blipFill>
                          <a:blip r:embed="rId21"/>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14" name="图片_1_SpCnt_13"/>
                  <wp:cNvGraphicFramePr/>
                  <a:graphic xmlns:a="http://schemas.openxmlformats.org/drawingml/2006/main">
                    <a:graphicData uri="http://schemas.openxmlformats.org/drawingml/2006/picture">
                      <pic:pic xmlns:pic="http://schemas.openxmlformats.org/drawingml/2006/picture">
                        <pic:nvPicPr>
                          <pic:cNvPr id="114" name="图片_1_SpCnt_13"/>
                          <pic:cNvPicPr/>
                        </pic:nvPicPr>
                        <pic:blipFill>
                          <a:blip r:embed="rId22"/>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19" name="图片_1_SpCnt_14"/>
                  <wp:cNvGraphicFramePr/>
                  <a:graphic xmlns:a="http://schemas.openxmlformats.org/drawingml/2006/main">
                    <a:graphicData uri="http://schemas.openxmlformats.org/drawingml/2006/picture">
                      <pic:pic xmlns:pic="http://schemas.openxmlformats.org/drawingml/2006/picture">
                        <pic:nvPicPr>
                          <pic:cNvPr id="119" name="图片_1_SpCnt_14"/>
                          <pic:cNvPicPr/>
                        </pic:nvPicPr>
                        <pic:blipFill>
                          <a:blip r:embed="rId23"/>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16" name="图片_1_SpCnt_15"/>
                  <wp:cNvGraphicFramePr/>
                  <a:graphic xmlns:a="http://schemas.openxmlformats.org/drawingml/2006/main">
                    <a:graphicData uri="http://schemas.openxmlformats.org/drawingml/2006/picture">
                      <pic:pic xmlns:pic="http://schemas.openxmlformats.org/drawingml/2006/picture">
                        <pic:nvPicPr>
                          <pic:cNvPr id="116" name="图片_1_SpCnt_15"/>
                          <pic:cNvPicPr/>
                        </pic:nvPicPr>
                        <pic:blipFill>
                          <a:blip r:embed="rId26"/>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08" name="图片_1_SpCnt_16"/>
                  <wp:cNvGraphicFramePr/>
                  <a:graphic xmlns:a="http://schemas.openxmlformats.org/drawingml/2006/main">
                    <a:graphicData uri="http://schemas.openxmlformats.org/drawingml/2006/picture">
                      <pic:pic xmlns:pic="http://schemas.openxmlformats.org/drawingml/2006/picture">
                        <pic:nvPicPr>
                          <pic:cNvPr id="108" name="图片_1_SpCnt_16"/>
                          <pic:cNvPicPr/>
                        </pic:nvPicPr>
                        <pic:blipFill>
                          <a:blip r:embed="rId24"/>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15" name="图片_1_SpCnt_17"/>
                  <wp:cNvGraphicFramePr/>
                  <a:graphic xmlns:a="http://schemas.openxmlformats.org/drawingml/2006/main">
                    <a:graphicData uri="http://schemas.openxmlformats.org/drawingml/2006/picture">
                      <pic:pic xmlns:pic="http://schemas.openxmlformats.org/drawingml/2006/picture">
                        <pic:nvPicPr>
                          <pic:cNvPr id="115" name="图片_1_SpCnt_17"/>
                          <pic:cNvPicPr/>
                        </pic:nvPicPr>
                        <pic:blipFill>
                          <a:blip r:embed="rId27"/>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06" name="图片_1_SpCnt_18"/>
                  <wp:cNvGraphicFramePr/>
                  <a:graphic xmlns:a="http://schemas.openxmlformats.org/drawingml/2006/main">
                    <a:graphicData uri="http://schemas.openxmlformats.org/drawingml/2006/picture">
                      <pic:pic xmlns:pic="http://schemas.openxmlformats.org/drawingml/2006/picture">
                        <pic:nvPicPr>
                          <pic:cNvPr id="106" name="图片_1_SpCnt_18"/>
                          <pic:cNvPicPr/>
                        </pic:nvPicPr>
                        <pic:blipFill>
                          <a:blip r:embed="rId34"/>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12" name="图片_1_SpCnt_19"/>
                  <wp:cNvGraphicFramePr/>
                  <a:graphic xmlns:a="http://schemas.openxmlformats.org/drawingml/2006/main">
                    <a:graphicData uri="http://schemas.openxmlformats.org/drawingml/2006/picture">
                      <pic:pic xmlns:pic="http://schemas.openxmlformats.org/drawingml/2006/picture">
                        <pic:nvPicPr>
                          <pic:cNvPr id="112" name="图片_1_SpCnt_19"/>
                          <pic:cNvPicPr/>
                        </pic:nvPicPr>
                        <pic:blipFill>
                          <a:blip r:embed="rId13"/>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13" name="图片_1_SpCnt_20"/>
                  <wp:cNvGraphicFramePr/>
                  <a:graphic xmlns:a="http://schemas.openxmlformats.org/drawingml/2006/main">
                    <a:graphicData uri="http://schemas.openxmlformats.org/drawingml/2006/picture">
                      <pic:pic xmlns:pic="http://schemas.openxmlformats.org/drawingml/2006/picture">
                        <pic:nvPicPr>
                          <pic:cNvPr id="113" name="图片_1_SpCnt_20"/>
                          <pic:cNvPicPr/>
                        </pic:nvPicPr>
                        <pic:blipFill>
                          <a:blip r:embed="rId20"/>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10" name="图片_1_SpCnt_21"/>
                  <wp:cNvGraphicFramePr/>
                  <a:graphic xmlns:a="http://schemas.openxmlformats.org/drawingml/2006/main">
                    <a:graphicData uri="http://schemas.openxmlformats.org/drawingml/2006/picture">
                      <pic:pic xmlns:pic="http://schemas.openxmlformats.org/drawingml/2006/picture">
                        <pic:nvPicPr>
                          <pic:cNvPr id="110" name="图片_1_SpCnt_21"/>
                          <pic:cNvPicPr/>
                        </pic:nvPicPr>
                        <pic:blipFill>
                          <a:blip r:embed="rId29"/>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11" name="图片_1_SpCnt_22"/>
                  <wp:cNvGraphicFramePr/>
                  <a:graphic xmlns:a="http://schemas.openxmlformats.org/drawingml/2006/main">
                    <a:graphicData uri="http://schemas.openxmlformats.org/drawingml/2006/picture">
                      <pic:pic xmlns:pic="http://schemas.openxmlformats.org/drawingml/2006/picture">
                        <pic:nvPicPr>
                          <pic:cNvPr id="111" name="图片_1_SpCnt_22"/>
                          <pic:cNvPicPr/>
                        </pic:nvPicPr>
                        <pic:blipFill>
                          <a:blip r:embed="rId32"/>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18" name="图片_1_SpCnt_23"/>
                  <wp:cNvGraphicFramePr/>
                  <a:graphic xmlns:a="http://schemas.openxmlformats.org/drawingml/2006/main">
                    <a:graphicData uri="http://schemas.openxmlformats.org/drawingml/2006/picture">
                      <pic:pic xmlns:pic="http://schemas.openxmlformats.org/drawingml/2006/picture">
                        <pic:nvPicPr>
                          <pic:cNvPr id="118" name="图片_1_SpCnt_23"/>
                          <pic:cNvPicPr/>
                        </pic:nvPicPr>
                        <pic:blipFill>
                          <a:blip r:embed="rId28"/>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07" name="图片_1_SpCnt_24"/>
                  <wp:cNvGraphicFramePr/>
                  <a:graphic xmlns:a="http://schemas.openxmlformats.org/drawingml/2006/main">
                    <a:graphicData uri="http://schemas.openxmlformats.org/drawingml/2006/picture">
                      <pic:pic xmlns:pic="http://schemas.openxmlformats.org/drawingml/2006/picture">
                        <pic:nvPicPr>
                          <pic:cNvPr id="107" name="图片_1_SpCnt_24"/>
                          <pic:cNvPicPr/>
                        </pic:nvPicPr>
                        <pic:blipFill>
                          <a:blip r:embed="rId33"/>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09" name="图片_1_SpCnt_25"/>
                  <wp:cNvGraphicFramePr/>
                  <a:graphic xmlns:a="http://schemas.openxmlformats.org/drawingml/2006/main">
                    <a:graphicData uri="http://schemas.openxmlformats.org/drawingml/2006/picture">
                      <pic:pic xmlns:pic="http://schemas.openxmlformats.org/drawingml/2006/picture">
                        <pic:nvPicPr>
                          <pic:cNvPr id="109" name="图片_1_SpCnt_25"/>
                          <pic:cNvPicPr/>
                        </pic:nvPicPr>
                        <pic:blipFill>
                          <a:blip r:embed="rId11"/>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828675" cy="165100"/>
                  <wp:effectExtent l="0" t="0" r="0" b="0"/>
                  <wp:wrapNone/>
                  <wp:docPr id="117" name="图片_1_SpCnt_26"/>
                  <wp:cNvGraphicFramePr/>
                  <a:graphic xmlns:a="http://schemas.openxmlformats.org/drawingml/2006/main">
                    <a:graphicData uri="http://schemas.openxmlformats.org/drawingml/2006/picture">
                      <pic:pic xmlns:pic="http://schemas.openxmlformats.org/drawingml/2006/picture">
                        <pic:nvPicPr>
                          <pic:cNvPr id="117" name="图片_1_SpCnt_26"/>
                          <pic:cNvPicPr/>
                        </pic:nvPicPr>
                        <pic:blipFill>
                          <a:blip r:embed="rId37"/>
                          <a:stretch>
                            <a:fillRect/>
                          </a:stretch>
                        </pic:blipFill>
                        <pic:spPr>
                          <a:xfrm>
                            <a:off x="0" y="0"/>
                            <a:ext cx="828675" cy="165100"/>
                          </a:xfrm>
                          <a:prstGeom prst="rect">
                            <a:avLst/>
                          </a:prstGeom>
                          <a:noFill/>
                          <a:ln>
                            <a:noFill/>
                          </a:ln>
                        </pic:spPr>
                      </pic:pic>
                    </a:graphicData>
                  </a:graphic>
                </wp:anchor>
              </w:drawing>
            </w:r>
            <w:r>
              <w:rPr>
                <w:rFonts w:hint="eastAsia" w:ascii="微软雅黑" w:hAnsi="微软雅黑" w:eastAsia="微软雅黑" w:cs="微软雅黑"/>
                <w:i w:val="0"/>
                <w:iCs w:val="0"/>
                <w:color w:val="000000"/>
                <w:kern w:val="0"/>
                <w:sz w:val="20"/>
                <w:szCs w:val="20"/>
                <w:u w:val="none"/>
                <w:lang w:val="en-US" w:eastAsia="zh-CN" w:bidi="ar"/>
              </w:rPr>
              <w:t>1.Bose PhaseGuide® 技术与传统锥形覆盖吸顶扬声器相比，提供非对称的垂直覆盖角度，提供房间内均</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匀的声场覆盖</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2.设计为在近墙边界吸顶安装，PhaseGuide 阵列在房间内提供连续的覆盖，可以避免在天花中间安装或</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面装扬声器对室内设计美观度的影响。</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3.标称90° 或180° 水平覆盖设计为近墙/天花吸顶</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4.高频压缩单元提供行业最佳音质，频率响应和覆盖连续性</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5.8-inch 低音单元，同时因为放在墙边，低音能量得到增强</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6.二分频无源分频器同时带有70/100V 变压器</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7.新的自动保持，弹簧支撑的安装臂是安装快捷简便</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8.磁铁吸附的网罩使接线和变压器抽头设置更加快捷</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9.符合UL1480 标准可使用在空气调节（微高压）环境中</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10.频率响应（+/-3dB）：50-18kHz；                                                                                                                                                                                                                                             11.标称覆盖范围（HxV）:180度 H x 非对称75度 V (相对于天花板的角度为-90度至15度)，指向房间；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12.连续功率：125W（BOSE） 150W（AES）；                                                                                                                                                                                                                                13.峰值功率：500W（BOSE）600W（AES）;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14.灵敏度：93dB（BOSE &amp; AES）；                                                                                                                                                                                                                        15.连续最大声压级：114dB（BOSE）115dB（AES）；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16.峰值最大声压级：120dB（BOSE）121dB（AES）;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17.额定阻抗：8欧姆；变压器抽头（70V/100V） 70V：2.5、5、10、20、40、80W 100V：5、10、20、40、80W；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18.扬声器结构：低频1x8寸低音单元（1.5寸音圈），高频1个压缩单元（1.3英寸音圈）；                                                                                                                                                       </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19.尺寸：网罩（宽x高）：390mmX390mm，后盖（宽x高）：339mmX339mm；天花板切口（宽x高）：345mmX345mm；深度：236mm；最大天花高度：78mm  带网罩的扬声器：10.1kg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边界投射吸顶扬声器功率放大器</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1.8Ω立体 :350W*2   4Ω立体 :550W*2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2.阻尼 :&gt; 300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3.频响 :20 Hz-20 kHz, +0/-0.5 dB</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4.失真 :&lt; 0.05%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5.信噪比 :≥ 96 dB</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6.分离度 :&gt; 60 dB      </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7.灵敏度 :0.775v/1.0v/32dB</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8.阻抗 :20kΩ/10kΩ(平衡/非平衡)</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9.冷却 :抽风向后吹出</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10.保护 :软启动，VHF，直流，短路，过载</w:t>
            </w:r>
          </w:p>
          <w:p>
            <w:pPr>
              <w:keepNext w:val="0"/>
              <w:keepLines w:val="0"/>
              <w:widowControl/>
              <w:suppressLineNumbers w:val="0"/>
              <w:jc w:val="left"/>
              <w:textAlignment w:val="top"/>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11.失真限幅，过热，开机音量渐大</w:t>
            </w:r>
          </w:p>
          <w:p>
            <w:pPr>
              <w:keepNext w:val="0"/>
              <w:keepLines w:val="0"/>
              <w:widowControl/>
              <w:suppressLineNumbers w:val="0"/>
              <w:jc w:val="left"/>
              <w:textAlignment w:val="top"/>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12.功能 :红黑接线柱，NL4 Speakon插座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模拟调音台</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1.6路单声道输入和 2 个立体声输入</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2.精细、超线性的 GB30 话筒前置放大器</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3.为电容话筒提供真正专业的 +48V 幻象电源</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4.2 路辅助输出，全部可用开关切换到推子前或推子后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5.总谐波失真：＜0.007%</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6.频响：（20Hz-20KHz）+1dB/-3dB</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7.话筒输入的等效输入噪声：22Hz-22KHz不加权-128dB（信源内阻150Ω）</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8.母线噪声：20Hz-20KHz宽带线路输入, 终端负载为150Ω, RMS（有效值）测量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音频处理器</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1.模拟输入 :4 x XLR 平衡式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2.模拟输出 :8 x XLR 平衡式 最小负载 :100Ω</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3.最大输入电平 :20dBu</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4.最大输出电平 :18dBu</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5.总谐波失真 :≦ 0.003%</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6.信噪比 :≧ 113dB</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7.频响 :20Hz~20kHz (±0.5dB)</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8.AD &amp; DA 动态范围 :118dB</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9.采样率 :96kHz</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10.噪声发生器 :白噪声/粉红噪声，电平范围：‐30dBu~+10dBu</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11.全通滤波器 :1/2 阶可选择FIR 滤波器 :＞500tap 可选择</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12.延时 :每个输入通道 + 输出通道可调延迟时间为 510ms，步进精度 0.014ms (10.4us)</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13.底噪 :≦ ‐95dBu （A 计权）</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14.控制接口 :网络控制口*1 个；RS485 控制口*2 个；USB 控制口*1 个</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15.交流式电源 :100‐240V (50/60Hz)</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反馈抑制器</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1.会议系统中防啸叫的完美解决方案；</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2.2寸TFT彩屏，中英文可选；</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3.反馈加移频设计方案，移频4档可选；</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4.每通道设12个陷波器,工作频率20-20KHZ，自动扫描啸叫点并抑制；</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5.独特的噪声门功能可抑制系统微弱噪声干扰；</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6.输入压缩功能，消除反馈同时更可扩展人声动态；</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7.响应时间快中慢3速可定，更具人性化；</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8.配有专业的PC调试软件，USB免驱动即插即用，方便快捷；</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产品参数：</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1.模拟输入：2CH-XLR和1/4“TRS(母)输入,电子平衡/不平衡</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2.输入阻抗：平衡47Ω,不平衡20KΩ</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3.最大线路电平输入：+18dBu</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4.模拟输出：2CH-XLR和1/4“TRS(母)输入,电子平衡/不平衡</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5.输出阻抗：平衡&gt;120Ω,不平衡&gt;60Ω</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6.最大输出电平：+20dBu</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7.频率响应：20Hz-20KHz,±0.3db</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8.信噪比：&gt;105db(A)</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9.动态范围：103db</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10.总谐波失真+噪声0.005％,1KHz;20Hz-10KH,&lt;0.01％;10KHz-20KHz,&lt;0.025％</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11.工作电压：110V/220V/AC 50Hz/60Hz</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12.接口：输入3芯XLR母插座/6.3插咀 输出3芯XLR公插座/6.3插咀 USB接口 电源插口 3芯IEC 插座 电源90至240V 50/60Hz，                        </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13.耗电量：&lt;30瓦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9</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手持无线话筒</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1.载波频段:UHF610～920MHz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2.通道数:双通道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3.接收方式:真分集接收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4.调制方式:FM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5.振荡方式:PLL相位锁定频率合成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6.灵敏度:在偏移度等于25kHz，输入6dBv时，S／N&gt;60dB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7.最大偏移度:±45kHZ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8.综合S/N比:&gt;105dB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9.综合T.H.D:&lt;0．7％@1KHz。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10.综合频率响应:45Hz～18kHz±3dB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11.供电:DC12V～16V 10W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12.输出插座:XLR平行式及6.3不平行式插座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13.工作有效距离:100～200米(空阔地方)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无线发射机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1.载波频段:UHF610～920MHZ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2.振荡方式:PLL相位锁定频率合成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3.谐波幅射:&lt;65dBm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4.最大偏移度:±45kHz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5.频率响应:45HZ～18kHz±3dB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6.RF功率输出:10MW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7.拾音头:动圈式／电容式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8.电池:AA×2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9.电流消耗:≤100mA </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10.连续工作时间:约12小时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10</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天线信号放大分配器</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1.天线分配系统由一台天线分配器、2个天线组成，可供多台接收机使用，让接收信号获得默较佳的噪讯比，增加接收距离及稳定性，提供4组电源输入给接收机使用，方便安装工程。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2.适用频带范围：500-900MHz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3.输出/入增益： 0dB(频段中心）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4.输出端绝缘度：20dB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5.输出/入阻抗： 50欧姆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6.增益：13dBm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7.频宽：400MHz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8.接头：TNC插座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 xml:space="preserve">9.电源供应：DC12-18V </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10.消耗电流：170mA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11</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无线会议主机</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1.系统支持共用有线、无线会议话筒，易于安装和移动；</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2.内嵌智能防啸叫技术，CD般的音质；</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3.可独立调节麦克风灵敏度；</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4.功能完善（讨论、视像跟踪）；</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5.系统管理话筒容量≦1000个；</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6.抗手机、电磁、高频干扰能力；</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7.同一建筑物内不同会场可安装任意多套会议系统；</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8.无线话筒数字FM调频处理及传输技术保证了好音质；</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9.有线话筒供电及音频通讯采用同一电缆传送（八芯）；</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10.LCD显示屏，可显示主机状态及系统菜单；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11.麦克风增益独立可调，带动态电平指示灯； </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12.发言人数限制功能，可以设置同时开启的代表发言单元数量（数量为1/2/3/4台）；</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13.发言人数先进先出模式，达到开机限制数量后，下一个代表单元按下话筒开关键可开启话筒，并将最先开启的话筒关闭；</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14.具有RJ45接口，连接视频跟踪主机，可以实现标清或高清视像跟踪功能；</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15.音频通信方式：超高频无线电波</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16.音频频率范围：610MHz - 664.75MHz</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17.音频信道数：5路</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18.控制通信方式：无线433MHz频段</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19.控制频率范围：422.4MHz - 439.4MHz</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20.控制信道数：16路</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21.接收灵敏度：-100dBm</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22.信号覆盖范围：理想环境半径60米</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23.音频频率响应：50Hz-15KHz</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24.音频总增益：≦20dB</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25.信噪比：&gt;85dB</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26.音频总谐波失真：≦0.8%</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27.消耗功率：&lt; 7W</w:t>
            </w:r>
          </w:p>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28.电源输入：DC12V-15V，≧1A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无线主席单元</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1.新颖的结构设计，符合人体工程学，塑料座方管电容话筒；</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2.驻极体超心形指向性话筒；</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3.抗手机、电磁、高频干扰能力；</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4.LCD显示屏，可显示话筒状态及系统菜单；</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5.独立电源开关键，智能电路管理电池电量；</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6.设有话筒开关按键，按下开关键，绿色 LED咪管灯环亮，话筒为开启状态，关闭话筒需再按开关键；</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7.阻尼调节结构，可以任意地将收音头调整到合适的位置；</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8.附防风海绵罩，可减低在讲话时收到的喷气声及其他风声的情况出现；</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9.具有表决、视像跟踪功能，可广泛应用于会议、演讲、教学等各种场合。</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10.指示灯：绿色LED开启话筒咪管灯环显示</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11.供电：直流3.7V-4.5V</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12.消耗功率：待机≦360mW, 开启话筒状态≦630mW</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13.麦克风类型：超心形指向性驻极体</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14.开关：电子轻触开关</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15.音频通信方式：超高频无线电波</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16.音频频率范围：610MHz - 664.75MHz</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17.音频信道数：5路</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18.控制通信方式：无线433MHz频段</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19.控制频率范围：422.4MHz - 439.4MHz</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20.控制信道数：16路</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21.接收灵敏度：-100dBm</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22.咪管长度：240mm</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23.主席话筒具有主席优先功能键，可一键关闭所有代表话筒。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无线主席单元</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1.新颖的结构设计，符合人体工程学，塑料座方管电容话筒；</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2.驻极体超心形指向性话筒；</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3.抗手机、电磁、高频干扰能力；</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4.LCD显示屏，可显示话筒状态及系统菜单；</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5.独立电源开关键，智能电路管理电池电量；</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6.设有话筒开关按键，按下开关键，绿色 LED咪管灯环亮，话筒为开启状态，关闭话筒需再按开关键；</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7.阻尼调节结构，可以任意地将收音头调整到合适的位置；</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8.附防风海绵罩，可减低在讲话时收到的喷气声及其他风声的情况出现；</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9.具有表决、视像跟踪功能，可广泛应用于会议、演讲、教学等各种场合。</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10.指示灯：绿色LED开启话筒咪管灯环显示</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11.供电：直流3.7V-4.5V</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12.消耗功率：待机≦360mW, 开启话筒状态≦630mW</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13.麦克风类型：超心形指向性驻极体</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14.开关：电子轻触开关</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15.音频通信方式：超高频无线电波</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16.音频频率范围：610MHz - 664.75MHz</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17.音频信道数：5路</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18.控制通信方式：无线433MHz频段</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19.控制频率范围：422.4MHz - 439.4MHz</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20.控制信道数：16路</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21.接收灵敏度：-100dBm</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22.咪管长度：240mm</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23.主席话筒具有主席优先功能键，可一键关闭所有代表话筒。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5"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14</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8位充电箱</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1.电源：110V-240V~50Hz/60Hz </w:t>
            </w:r>
          </w:p>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2.充电位数：16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16</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时序电源</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1.即可控制单个通道操作，也可控制多个通道顺序操作</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2.最大输入电流：60A</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3.具有RS232、RS485和触点控制等多种控制接口</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4.通道数：8</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5.最大输入电流：60A</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6.控制方式：RS232、RS485、I/O、面板开关</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7.供电要求：交流175-245V</w:t>
            </w:r>
          </w:p>
          <w:p>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8.整机功耗：＜25W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17</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专业监听音响</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套</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kern w:val="0"/>
                <w:sz w:val="18"/>
                <w:szCs w:val="18"/>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1.专业监听音响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18</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专业机柜</w:t>
            </w:r>
          </w:p>
        </w:tc>
        <w:tc>
          <w:tcPr>
            <w:tcW w:w="10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个</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18"/>
                <w:szCs w:val="18"/>
                <w:u w:val="none"/>
              </w:rPr>
            </w:pPr>
            <w:r>
              <w:rPr>
                <w:rFonts w:hint="eastAsia" w:ascii="微软雅黑" w:hAnsi="微软雅黑" w:eastAsia="微软雅黑" w:cs="微软雅黑"/>
                <w:i w:val="0"/>
                <w:iCs w:val="0"/>
                <w:color w:val="auto"/>
                <w:kern w:val="0"/>
                <w:sz w:val="18"/>
                <w:szCs w:val="18"/>
                <w:u w:val="none"/>
                <w:lang w:val="en-US" w:eastAsia="zh-CN" w:bidi="ar"/>
              </w:rPr>
              <w:t>1.前后开门，侧开门，散热良好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微软雅黑" w:hAnsi="微软雅黑" w:eastAsia="微软雅黑" w:cs="微软雅黑"/>
                <w:b/>
                <w:bCs/>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18</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辅材</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批</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18"/>
                <w:szCs w:val="18"/>
                <w:u w:val="none"/>
              </w:rPr>
            </w:pPr>
            <w:r>
              <w:rPr>
                <w:rFonts w:hint="eastAsia" w:ascii="微软雅黑" w:hAnsi="微软雅黑" w:eastAsia="微软雅黑" w:cs="微软雅黑"/>
                <w:i w:val="0"/>
                <w:iCs w:val="0"/>
                <w:color w:val="auto"/>
                <w:kern w:val="0"/>
                <w:sz w:val="18"/>
                <w:szCs w:val="18"/>
                <w:u w:val="none"/>
                <w:lang w:val="en-US" w:eastAsia="zh-CN" w:bidi="ar"/>
              </w:rPr>
              <w:t>1.音箱线，音频线，接插头、转换线及转换插头等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85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集成安装</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支</w:t>
            </w:r>
          </w:p>
        </w:tc>
        <w:tc>
          <w:tcPr>
            <w:tcW w:w="3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1.集成安装</w:t>
            </w:r>
          </w:p>
        </w:tc>
      </w:tr>
    </w:tbl>
    <w:p>
      <w:pPr>
        <w:pStyle w:val="29"/>
        <w:rPr>
          <w:rFonts w:hint="eastAsia"/>
          <w:lang w:val="en-US" w:eastAsia="zh-CN"/>
        </w:rPr>
      </w:pPr>
    </w:p>
    <w:p>
      <w:pPr>
        <w:pStyle w:val="12"/>
        <w:keepNext w:val="0"/>
        <w:keepLines w:val="0"/>
        <w:pageBreakBefore w:val="0"/>
        <w:widowControl w:val="0"/>
        <w:kinsoku/>
        <w:wordWrap/>
        <w:overflowPunct/>
        <w:topLinePunct w:val="0"/>
        <w:bidi w:val="0"/>
        <w:adjustRightInd w:val="0"/>
        <w:snapToGrid w:val="0"/>
        <w:ind w:left="1127" w:leftChars="227" w:hanging="650" w:hangingChars="271"/>
        <w:jc w:val="left"/>
        <w:textAlignment w:val="auto"/>
        <w:rPr>
          <w:rFonts w:hint="eastAsia" w:ascii="宋体" w:hAnsi="宋体" w:eastAsia="宋体" w:cs="宋体"/>
          <w:color w:val="auto"/>
          <w:kern w:val="2"/>
          <w:sz w:val="24"/>
          <w:szCs w:val="24"/>
          <w:highlight w:val="none"/>
          <w:lang w:val="en-US" w:eastAsia="zh-CN" w:bidi="ar-SA"/>
        </w:rPr>
      </w:pPr>
    </w:p>
    <w:p>
      <w:pPr>
        <w:pStyle w:val="12"/>
        <w:keepNext w:val="0"/>
        <w:keepLines w:val="0"/>
        <w:pageBreakBefore w:val="0"/>
        <w:widowControl w:val="0"/>
        <w:kinsoku/>
        <w:wordWrap/>
        <w:overflowPunct/>
        <w:topLinePunct w:val="0"/>
        <w:bidi w:val="0"/>
        <w:adjustRightInd w:val="0"/>
        <w:snapToGrid w:val="0"/>
        <w:ind w:left="1127" w:leftChars="227" w:hanging="650" w:hangingChars="271"/>
        <w:jc w:val="left"/>
        <w:textAlignment w:val="auto"/>
        <w:rPr>
          <w:rFonts w:hint="eastAsia" w:ascii="宋体" w:hAnsi="宋体" w:eastAsia="宋体" w:cs="宋体"/>
          <w:color w:val="auto"/>
          <w:kern w:val="2"/>
          <w:sz w:val="24"/>
          <w:szCs w:val="24"/>
          <w:highlight w:val="none"/>
          <w:lang w:val="en-US" w:eastAsia="zh-CN" w:bidi="ar-SA"/>
        </w:rPr>
      </w:pPr>
    </w:p>
    <w:p>
      <w:pPr>
        <w:pStyle w:val="12"/>
        <w:keepNext w:val="0"/>
        <w:keepLines w:val="0"/>
        <w:pageBreakBefore w:val="0"/>
        <w:widowControl w:val="0"/>
        <w:kinsoku/>
        <w:wordWrap/>
        <w:overflowPunct/>
        <w:topLinePunct w:val="0"/>
        <w:bidi w:val="0"/>
        <w:adjustRightInd w:val="0"/>
        <w:snapToGrid w:val="0"/>
        <w:ind w:left="0" w:leftChars="0" w:firstLine="0" w:firstLineChars="0"/>
        <w:jc w:val="left"/>
        <w:textAlignment w:val="auto"/>
        <w:rPr>
          <w:rFonts w:hint="eastAsia" w:ascii="宋体" w:hAnsi="宋体" w:eastAsia="宋体" w:cs="宋体"/>
          <w:color w:val="auto"/>
          <w:kern w:val="2"/>
          <w:sz w:val="24"/>
          <w:szCs w:val="24"/>
          <w:highlight w:val="none"/>
          <w:lang w:val="en-US" w:eastAsia="zh-CN" w:bidi="ar-SA"/>
        </w:rPr>
      </w:pPr>
    </w:p>
    <w:p>
      <w:pPr>
        <w:pStyle w:val="12"/>
        <w:keepNext w:val="0"/>
        <w:keepLines w:val="0"/>
        <w:pageBreakBefore w:val="0"/>
        <w:widowControl w:val="0"/>
        <w:kinsoku/>
        <w:wordWrap/>
        <w:overflowPunct/>
        <w:topLinePunct w:val="0"/>
        <w:bidi w:val="0"/>
        <w:adjustRightInd w:val="0"/>
        <w:snapToGrid w:val="0"/>
        <w:ind w:left="1127" w:leftChars="227" w:hanging="650" w:hangingChars="271"/>
        <w:jc w:val="left"/>
        <w:textAlignment w:val="auto"/>
        <w:rPr>
          <w:rFonts w:hint="eastAsia" w:ascii="宋体" w:hAnsi="宋体" w:eastAsia="宋体" w:cs="宋体"/>
          <w:color w:val="auto"/>
          <w:kern w:val="2"/>
          <w:sz w:val="24"/>
          <w:szCs w:val="24"/>
          <w:highlight w:val="none"/>
          <w:lang w:val="en-US" w:eastAsia="zh-CN" w:bidi="ar-SA"/>
        </w:rPr>
      </w:pPr>
    </w:p>
    <w:p>
      <w:pPr>
        <w:pStyle w:val="12"/>
        <w:keepNext w:val="0"/>
        <w:keepLines w:val="0"/>
        <w:pageBreakBefore w:val="0"/>
        <w:widowControl w:val="0"/>
        <w:kinsoku/>
        <w:wordWrap/>
        <w:overflowPunct/>
        <w:topLinePunct w:val="0"/>
        <w:bidi w:val="0"/>
        <w:adjustRightInd w:val="0"/>
        <w:snapToGrid w:val="0"/>
        <w:ind w:left="1127" w:leftChars="227" w:hanging="650" w:hangingChars="271"/>
        <w:jc w:val="left"/>
        <w:textAlignment w:val="auto"/>
        <w:rPr>
          <w:rFonts w:hint="eastAsia" w:ascii="宋体" w:hAnsi="宋体" w:eastAsia="宋体" w:cs="宋体"/>
          <w:color w:val="auto"/>
          <w:kern w:val="2"/>
          <w:sz w:val="24"/>
          <w:szCs w:val="24"/>
          <w:highlight w:val="none"/>
          <w:lang w:val="en-US" w:eastAsia="zh-CN" w:bidi="ar-SA"/>
        </w:rPr>
      </w:pPr>
    </w:p>
    <w:p>
      <w:pPr>
        <w:pStyle w:val="12"/>
        <w:keepNext w:val="0"/>
        <w:keepLines w:val="0"/>
        <w:pageBreakBefore w:val="0"/>
        <w:widowControl w:val="0"/>
        <w:kinsoku/>
        <w:wordWrap/>
        <w:overflowPunct/>
        <w:topLinePunct w:val="0"/>
        <w:bidi w:val="0"/>
        <w:adjustRightInd w:val="0"/>
        <w:snapToGrid w:val="0"/>
        <w:ind w:left="1127" w:leftChars="227" w:hanging="650" w:hangingChars="271"/>
        <w:jc w:val="left"/>
        <w:textAlignment w:val="auto"/>
        <w:rPr>
          <w:rFonts w:hint="eastAsia" w:ascii="宋体" w:hAnsi="宋体" w:eastAsia="宋体" w:cs="宋体"/>
          <w:color w:val="auto"/>
          <w:kern w:val="2"/>
          <w:sz w:val="24"/>
          <w:szCs w:val="24"/>
          <w:highlight w:val="none"/>
          <w:lang w:val="en-US" w:eastAsia="zh-CN" w:bidi="ar-SA"/>
        </w:rPr>
      </w:pPr>
    </w:p>
    <w:p>
      <w:pPr>
        <w:pStyle w:val="12"/>
        <w:keepNext w:val="0"/>
        <w:keepLines w:val="0"/>
        <w:pageBreakBefore w:val="0"/>
        <w:widowControl w:val="0"/>
        <w:kinsoku/>
        <w:wordWrap/>
        <w:overflowPunct/>
        <w:topLinePunct w:val="0"/>
        <w:bidi w:val="0"/>
        <w:adjustRightInd w:val="0"/>
        <w:snapToGrid w:val="0"/>
        <w:ind w:left="1127" w:leftChars="227" w:hanging="650" w:hangingChars="271"/>
        <w:jc w:val="left"/>
        <w:textAlignment w:val="auto"/>
        <w:rPr>
          <w:rFonts w:hint="eastAsia" w:ascii="宋体" w:hAnsi="宋体" w:eastAsia="宋体" w:cs="宋体"/>
          <w:color w:val="auto"/>
          <w:kern w:val="2"/>
          <w:sz w:val="24"/>
          <w:szCs w:val="24"/>
          <w:highlight w:val="none"/>
          <w:lang w:val="en-US" w:eastAsia="zh-CN" w:bidi="ar-SA"/>
        </w:rPr>
      </w:pPr>
    </w:p>
    <w:p>
      <w:pPr>
        <w:pStyle w:val="12"/>
        <w:keepNext w:val="0"/>
        <w:keepLines w:val="0"/>
        <w:pageBreakBefore w:val="0"/>
        <w:widowControl w:val="0"/>
        <w:kinsoku/>
        <w:wordWrap/>
        <w:overflowPunct/>
        <w:topLinePunct w:val="0"/>
        <w:bidi w:val="0"/>
        <w:adjustRightInd w:val="0"/>
        <w:snapToGrid w:val="0"/>
        <w:ind w:left="1127" w:leftChars="227" w:hanging="650" w:hangingChars="271"/>
        <w:jc w:val="left"/>
        <w:textAlignment w:val="auto"/>
        <w:rPr>
          <w:rFonts w:hint="eastAsia" w:ascii="宋体" w:hAnsi="宋体" w:eastAsia="宋体" w:cs="宋体"/>
          <w:color w:val="auto"/>
          <w:kern w:val="2"/>
          <w:sz w:val="24"/>
          <w:szCs w:val="24"/>
          <w:highlight w:val="none"/>
          <w:lang w:val="en-US" w:eastAsia="zh-CN" w:bidi="ar-SA"/>
        </w:rPr>
      </w:pPr>
    </w:p>
    <w:p>
      <w:pPr>
        <w:pStyle w:val="12"/>
        <w:keepNext w:val="0"/>
        <w:keepLines w:val="0"/>
        <w:pageBreakBefore w:val="0"/>
        <w:widowControl w:val="0"/>
        <w:kinsoku/>
        <w:wordWrap/>
        <w:overflowPunct/>
        <w:topLinePunct w:val="0"/>
        <w:bidi w:val="0"/>
        <w:adjustRightInd w:val="0"/>
        <w:snapToGrid w:val="0"/>
        <w:ind w:left="1127" w:leftChars="227" w:hanging="650" w:hangingChars="271"/>
        <w:jc w:val="left"/>
        <w:textAlignment w:val="auto"/>
        <w:rPr>
          <w:rFonts w:hint="eastAsia" w:ascii="宋体" w:hAnsi="宋体" w:eastAsia="宋体" w:cs="宋体"/>
          <w:color w:val="auto"/>
          <w:kern w:val="2"/>
          <w:sz w:val="24"/>
          <w:szCs w:val="24"/>
          <w:highlight w:val="none"/>
          <w:lang w:val="en-US" w:eastAsia="zh-CN" w:bidi="ar-SA"/>
        </w:rPr>
      </w:pPr>
    </w:p>
    <w:p>
      <w:pPr>
        <w:pStyle w:val="12"/>
        <w:keepNext w:val="0"/>
        <w:keepLines w:val="0"/>
        <w:pageBreakBefore w:val="0"/>
        <w:widowControl w:val="0"/>
        <w:kinsoku/>
        <w:wordWrap/>
        <w:overflowPunct/>
        <w:topLinePunct w:val="0"/>
        <w:bidi w:val="0"/>
        <w:adjustRightInd w:val="0"/>
        <w:snapToGrid w:val="0"/>
        <w:ind w:left="1127" w:leftChars="227" w:hanging="650" w:hangingChars="271"/>
        <w:jc w:val="left"/>
        <w:textAlignment w:val="auto"/>
        <w:rPr>
          <w:rFonts w:hint="eastAsia" w:ascii="宋体" w:hAnsi="宋体" w:eastAsia="宋体" w:cs="宋体"/>
          <w:color w:val="auto"/>
          <w:kern w:val="2"/>
          <w:sz w:val="24"/>
          <w:szCs w:val="24"/>
          <w:highlight w:val="none"/>
          <w:lang w:val="en-US" w:eastAsia="zh-CN" w:bidi="ar-SA"/>
        </w:rPr>
      </w:pPr>
    </w:p>
    <w:p>
      <w:pPr>
        <w:pStyle w:val="12"/>
        <w:keepNext w:val="0"/>
        <w:keepLines w:val="0"/>
        <w:pageBreakBefore w:val="0"/>
        <w:widowControl w:val="0"/>
        <w:kinsoku/>
        <w:wordWrap/>
        <w:overflowPunct/>
        <w:topLinePunct w:val="0"/>
        <w:bidi w:val="0"/>
        <w:adjustRightInd w:val="0"/>
        <w:snapToGrid w:val="0"/>
        <w:ind w:left="1127" w:leftChars="227" w:hanging="650" w:hangingChars="271"/>
        <w:jc w:val="left"/>
        <w:textAlignment w:val="auto"/>
        <w:rPr>
          <w:rFonts w:hint="eastAsia" w:ascii="宋体" w:hAnsi="宋体" w:eastAsia="宋体" w:cs="宋体"/>
          <w:color w:val="auto"/>
          <w:kern w:val="2"/>
          <w:sz w:val="24"/>
          <w:szCs w:val="24"/>
          <w:highlight w:val="none"/>
          <w:lang w:val="en-US" w:eastAsia="zh-CN" w:bidi="ar-SA"/>
        </w:rPr>
      </w:pPr>
    </w:p>
    <w:p>
      <w:pPr>
        <w:pStyle w:val="12"/>
        <w:keepNext w:val="0"/>
        <w:keepLines w:val="0"/>
        <w:pageBreakBefore w:val="0"/>
        <w:widowControl w:val="0"/>
        <w:kinsoku/>
        <w:wordWrap/>
        <w:overflowPunct/>
        <w:topLinePunct w:val="0"/>
        <w:bidi w:val="0"/>
        <w:adjustRightInd w:val="0"/>
        <w:snapToGrid w:val="0"/>
        <w:ind w:left="1127" w:leftChars="227" w:hanging="650" w:hangingChars="271"/>
        <w:jc w:val="left"/>
        <w:textAlignment w:val="auto"/>
        <w:rPr>
          <w:rFonts w:hint="eastAsia" w:ascii="宋体" w:hAnsi="宋体" w:eastAsia="宋体" w:cs="宋体"/>
          <w:color w:val="auto"/>
          <w:kern w:val="2"/>
          <w:sz w:val="24"/>
          <w:szCs w:val="24"/>
          <w:highlight w:val="none"/>
          <w:lang w:val="en-US" w:eastAsia="zh-CN" w:bidi="ar-SA"/>
        </w:rPr>
      </w:pPr>
    </w:p>
    <w:p>
      <w:pPr>
        <w:pStyle w:val="12"/>
        <w:keepNext w:val="0"/>
        <w:keepLines w:val="0"/>
        <w:pageBreakBefore w:val="0"/>
        <w:widowControl w:val="0"/>
        <w:kinsoku/>
        <w:wordWrap/>
        <w:overflowPunct/>
        <w:topLinePunct w:val="0"/>
        <w:bidi w:val="0"/>
        <w:adjustRightInd w:val="0"/>
        <w:snapToGrid w:val="0"/>
        <w:ind w:left="1127" w:leftChars="227" w:hanging="650" w:hangingChars="271"/>
        <w:jc w:val="left"/>
        <w:textAlignment w:val="auto"/>
        <w:rPr>
          <w:rFonts w:hint="eastAsia" w:ascii="宋体" w:hAnsi="宋体" w:eastAsia="宋体" w:cs="宋体"/>
          <w:color w:val="auto"/>
          <w:kern w:val="2"/>
          <w:sz w:val="24"/>
          <w:szCs w:val="24"/>
          <w:highlight w:val="none"/>
          <w:lang w:val="en-US" w:eastAsia="zh-CN" w:bidi="ar-SA"/>
        </w:rPr>
      </w:pPr>
    </w:p>
    <w:p>
      <w:pPr>
        <w:widowControl/>
        <w:adjustRightInd w:val="0"/>
        <w:snapToGrid w:val="0"/>
        <w:spacing w:line="360" w:lineRule="auto"/>
        <w:ind w:firstLine="440" w:firstLineChars="100"/>
        <w:jc w:val="center"/>
        <w:rPr>
          <w:rFonts w:ascii="宋体" w:hAnsi="宋体" w:eastAsia="宋体" w:cs="宋体"/>
          <w:sz w:val="28"/>
          <w:szCs w:val="28"/>
        </w:rPr>
      </w:pPr>
      <w:r>
        <w:rPr>
          <w:rFonts w:hint="eastAsia" w:ascii="方正小标宋简体" w:hAnsi="宋体" w:eastAsia="方正小标宋简体" w:cs="宋体"/>
          <w:kern w:val="0"/>
          <w:sz w:val="44"/>
          <w:szCs w:val="44"/>
        </w:rPr>
        <w:t>第四章</w:t>
      </w:r>
      <w:r>
        <w:rPr>
          <w:rFonts w:ascii="方正小标宋简体" w:hAnsi="宋体" w:eastAsia="方正小标宋简体" w:cs="宋体"/>
          <w:kern w:val="0"/>
          <w:sz w:val="44"/>
          <w:szCs w:val="44"/>
        </w:rPr>
        <w:t xml:space="preserve"> </w:t>
      </w:r>
      <w:r>
        <w:rPr>
          <w:rFonts w:hint="eastAsia" w:ascii="方正小标宋简体" w:hAnsi="宋体" w:eastAsia="方正小标宋简体" w:cs="宋体"/>
          <w:kern w:val="0"/>
          <w:sz w:val="44"/>
          <w:szCs w:val="44"/>
        </w:rPr>
        <w:t>合同格式</w:t>
      </w:r>
      <w:r>
        <w:rPr>
          <w:rFonts w:hint="eastAsia" w:ascii="方正小标宋简体" w:hAnsi="宋体" w:eastAsia="方正小标宋简体" w:cs="宋体"/>
          <w:kern w:val="0"/>
          <w:sz w:val="44"/>
          <w:szCs w:val="44"/>
          <w:lang w:eastAsia="zh-CN"/>
        </w:rPr>
        <w:t>（</w:t>
      </w:r>
      <w:r>
        <w:rPr>
          <w:rFonts w:hint="eastAsia" w:ascii="方正小标宋简体" w:hAnsi="宋体" w:eastAsia="方正小标宋简体" w:cs="宋体"/>
          <w:kern w:val="0"/>
          <w:sz w:val="44"/>
          <w:szCs w:val="44"/>
          <w:lang w:val="en-US" w:eastAsia="zh-CN"/>
        </w:rPr>
        <w:t>参考</w:t>
      </w:r>
      <w:r>
        <w:rPr>
          <w:rFonts w:hint="eastAsia" w:ascii="方正小标宋简体" w:hAnsi="宋体" w:eastAsia="方正小标宋简体" w:cs="宋体"/>
          <w:kern w:val="0"/>
          <w:sz w:val="44"/>
          <w:szCs w:val="44"/>
          <w:lang w:eastAsia="zh-CN"/>
        </w:rPr>
        <w:t>）</w:t>
      </w:r>
    </w:p>
    <w:p>
      <w:pPr>
        <w:spacing w:line="480" w:lineRule="exact"/>
        <w:jc w:val="center"/>
        <w:rPr>
          <w:rFonts w:ascii="方正小标宋简体" w:hAnsi="方正小标宋简体" w:eastAsia="方正小标宋简体" w:cs="方正小标宋简体"/>
          <w:sz w:val="44"/>
          <w:szCs w:val="44"/>
          <w:u w:val="single"/>
        </w:rPr>
      </w:pPr>
    </w:p>
    <w:p>
      <w:pPr>
        <w:ind w:left="0"/>
        <w:jc w:val="center"/>
        <w:rPr>
          <w:rFonts w:hint="eastAsia" w:ascii="方正小标宋简体" w:hAnsi="Calibri" w:eastAsia="方正小标宋简体" w:cs="Times New Roman"/>
          <w:b w:val="0"/>
          <w:bCs w:val="0"/>
          <w:sz w:val="44"/>
          <w:szCs w:val="44"/>
          <w:u w:val="single"/>
          <w:lang w:val="en-US" w:eastAsia="zh-CN"/>
        </w:rPr>
      </w:pPr>
      <w:r>
        <w:rPr>
          <w:rFonts w:hint="eastAsia" w:ascii="方正小标宋简体" w:hAnsi="Calibri" w:eastAsia="方正小标宋简体" w:cs="Times New Roman"/>
          <w:b w:val="0"/>
          <w:bCs w:val="0"/>
          <w:sz w:val="44"/>
          <w:szCs w:val="44"/>
          <w:u w:val="single"/>
          <w:lang w:val="en-US" w:eastAsia="zh-CN"/>
        </w:rPr>
        <w:t>四川省轨道交通投资有限责任公司</w:t>
      </w:r>
    </w:p>
    <w:p>
      <w:pPr>
        <w:widowControl/>
        <w:adjustRightInd w:val="0"/>
        <w:snapToGrid w:val="0"/>
        <w:spacing w:line="360" w:lineRule="auto"/>
        <w:ind w:firstLine="440" w:firstLineChars="100"/>
        <w:jc w:val="center"/>
        <w:rPr>
          <w:rFonts w:ascii="宋体" w:hAnsi="宋体" w:eastAsia="宋体" w:cs="宋体"/>
          <w:sz w:val="28"/>
          <w:szCs w:val="28"/>
        </w:rPr>
      </w:pPr>
      <w:r>
        <w:rPr>
          <w:rFonts w:hint="eastAsia" w:ascii="方正小标宋简体" w:hAnsi="Calibri" w:eastAsia="方正小标宋简体" w:cs="Times New Roman"/>
          <w:b w:val="0"/>
          <w:bCs w:val="0"/>
          <w:sz w:val="44"/>
          <w:szCs w:val="44"/>
          <w:u w:val="single"/>
          <w:lang w:val="en-US" w:eastAsia="zh-CN"/>
        </w:rPr>
        <w:t>会议室音视频采购项目</w:t>
      </w:r>
      <w:r>
        <w:rPr>
          <w:rFonts w:hint="eastAsia" w:ascii="方正小标宋简体" w:hAnsi="方正小标宋简体" w:eastAsia="方正小标宋简体" w:cs="方正小标宋简体"/>
          <w:bCs/>
          <w:sz w:val="40"/>
          <w:szCs w:val="44"/>
        </w:rPr>
        <w:t>合同</w:t>
      </w:r>
    </w:p>
    <w:p>
      <w:pPr>
        <w:spacing w:line="480" w:lineRule="exact"/>
        <w:jc w:val="center"/>
        <w:rPr>
          <w:rFonts w:ascii="方正小标宋简体" w:hAnsi="方正小标宋简体" w:eastAsia="方正小标宋简体" w:cs="方正小标宋简体"/>
          <w:bCs/>
          <w:sz w:val="40"/>
          <w:szCs w:val="44"/>
        </w:rPr>
      </w:pPr>
    </w:p>
    <w:p>
      <w:pPr>
        <w:wordWrap w:val="0"/>
        <w:spacing w:line="480" w:lineRule="exact"/>
        <w:ind w:hanging="1124"/>
        <w:jc w:val="center"/>
        <w:rPr>
          <w:rFonts w:ascii="方正小标宋简体" w:hAnsi="方正小标宋简体" w:eastAsia="方正小标宋简体" w:cs="方正小标宋简体"/>
          <w:bCs/>
          <w:sz w:val="40"/>
          <w:szCs w:val="44"/>
        </w:rPr>
      </w:pPr>
    </w:p>
    <w:p>
      <w:pPr>
        <w:wordWrap w:val="0"/>
        <w:spacing w:line="480" w:lineRule="exact"/>
        <w:rPr>
          <w:rFonts w:hint="eastAsia" w:ascii="宋体" w:hAnsiTheme="minorHAnsi" w:eastAsiaTheme="minorEastAsia" w:cstheme="minorBidi"/>
          <w:kern w:val="2"/>
          <w:sz w:val="24"/>
          <w:szCs w:val="24"/>
          <w:lang w:val="en-US" w:eastAsia="zh-CN" w:bidi="ar-SA"/>
        </w:rPr>
      </w:pPr>
      <w:r>
        <w:rPr>
          <w:rFonts w:hint="eastAsia" w:ascii="宋体" w:hAnsiTheme="minorHAnsi" w:eastAsiaTheme="minorEastAsia" w:cstheme="minorBidi"/>
          <w:kern w:val="2"/>
          <w:sz w:val="24"/>
          <w:szCs w:val="24"/>
          <w:lang w:val="en-US" w:eastAsia="zh-CN" w:bidi="ar-SA"/>
        </w:rPr>
        <w:t>委托单位：</w:t>
      </w:r>
      <w:r>
        <w:rPr>
          <w:rFonts w:hint="eastAsia" w:ascii="宋体" w:hAnsiTheme="minorHAnsi" w:eastAsiaTheme="minorEastAsia" w:cstheme="minorBidi"/>
          <w:kern w:val="2"/>
          <w:sz w:val="24"/>
          <w:szCs w:val="24"/>
          <w:u w:val="single"/>
          <w:lang w:val="en-US" w:eastAsia="zh-CN" w:bidi="ar-SA"/>
        </w:rPr>
        <w:t>四川省轨道交通投资有限责任公司（以下简称“甲方”）</w:t>
      </w:r>
    </w:p>
    <w:p>
      <w:pPr>
        <w:wordWrap w:val="0"/>
        <w:spacing w:line="480" w:lineRule="exact"/>
        <w:rPr>
          <w:rFonts w:hint="eastAsia" w:ascii="宋体" w:hAnsiTheme="minorHAnsi" w:eastAsiaTheme="minorEastAsia" w:cstheme="minorBidi"/>
          <w:kern w:val="2"/>
          <w:sz w:val="24"/>
          <w:szCs w:val="24"/>
          <w:lang w:val="en-US" w:eastAsia="zh-CN" w:bidi="ar-SA"/>
        </w:rPr>
      </w:pPr>
      <w:r>
        <w:rPr>
          <w:rFonts w:hint="eastAsia" w:ascii="宋体" w:hAnsiTheme="minorHAnsi" w:eastAsiaTheme="minorEastAsia" w:cstheme="minorBidi"/>
          <w:kern w:val="2"/>
          <w:sz w:val="24"/>
          <w:szCs w:val="24"/>
          <w:lang w:val="en-US" w:eastAsia="zh-CN" w:bidi="ar-SA"/>
        </w:rPr>
        <w:t>受托单位：</w:t>
      </w:r>
      <w:r>
        <w:rPr>
          <w:rFonts w:hint="eastAsia" w:ascii="宋体" w:hAnsiTheme="minorHAnsi" w:eastAsiaTheme="minorEastAsia" w:cstheme="minorBidi"/>
          <w:kern w:val="2"/>
          <w:sz w:val="24"/>
          <w:szCs w:val="24"/>
          <w:u w:val="single"/>
          <w:lang w:val="en-US" w:eastAsia="zh-CN" w:bidi="ar-SA"/>
        </w:rPr>
        <w:t xml:space="preserve">                              （以下简称“乙方”）</w:t>
      </w:r>
    </w:p>
    <w:p>
      <w:pPr>
        <w:spacing w:line="480" w:lineRule="exact"/>
        <w:rPr>
          <w:rFonts w:hint="eastAsia" w:ascii="宋体" w:hAnsiTheme="minorHAnsi" w:eastAsiaTheme="minorEastAsia" w:cstheme="minorBidi"/>
          <w:kern w:val="2"/>
          <w:sz w:val="24"/>
          <w:szCs w:val="24"/>
          <w:lang w:val="en-US" w:eastAsia="zh-CN" w:bidi="ar-SA"/>
        </w:rPr>
      </w:pPr>
    </w:p>
    <w:p>
      <w:pPr>
        <w:spacing w:line="480" w:lineRule="exact"/>
        <w:ind w:firstLine="480" w:firstLineChars="200"/>
        <w:rPr>
          <w:rFonts w:hint="eastAsia" w:ascii="宋体" w:hAnsiTheme="minorHAnsi" w:eastAsiaTheme="minorEastAsia" w:cstheme="minorBidi"/>
          <w:kern w:val="2"/>
          <w:sz w:val="24"/>
          <w:szCs w:val="24"/>
          <w:lang w:val="en-US" w:eastAsia="zh-CN" w:bidi="ar-SA"/>
        </w:rPr>
      </w:pPr>
      <w:r>
        <w:rPr>
          <w:rFonts w:hint="eastAsia" w:ascii="宋体" w:hAnsiTheme="minorHAnsi" w:eastAsiaTheme="minorEastAsia" w:cstheme="minorBidi"/>
          <w:kern w:val="2"/>
          <w:sz w:val="24"/>
          <w:szCs w:val="24"/>
          <w:lang w:val="en-US" w:eastAsia="zh-CN" w:bidi="ar-SA"/>
        </w:rPr>
        <w:t>依照《中华人民共和国民法典》及其他有关法律、行政法规，遵循平等自愿、诚实信用的原则，甲乙双方就</w:t>
      </w:r>
      <w:r>
        <w:rPr>
          <w:rFonts w:hint="eastAsia" w:ascii="宋体" w:hAnsiTheme="minorHAnsi" w:eastAsiaTheme="minorEastAsia" w:cstheme="minorBidi"/>
          <w:kern w:val="2"/>
          <w:sz w:val="24"/>
          <w:szCs w:val="24"/>
          <w:u w:val="single"/>
          <w:lang w:val="en-US" w:eastAsia="zh-CN" w:bidi="ar-SA"/>
        </w:rPr>
        <w:t xml:space="preserve">       </w:t>
      </w:r>
      <w:r>
        <w:rPr>
          <w:rFonts w:hint="eastAsia" w:ascii="宋体" w:hAnsiTheme="minorHAnsi" w:eastAsiaTheme="minorEastAsia" w:cstheme="minorBidi"/>
          <w:kern w:val="2"/>
          <w:sz w:val="24"/>
          <w:szCs w:val="24"/>
          <w:lang w:val="en-US" w:eastAsia="zh-CN" w:bidi="ar-SA"/>
        </w:rPr>
        <w:t>事宜协商一致，订立本合同。</w:t>
      </w:r>
    </w:p>
    <w:p>
      <w:pPr>
        <w:pStyle w:val="29"/>
      </w:pPr>
    </w:p>
    <w:p>
      <w:pPr>
        <w:adjustRightInd w:val="0"/>
        <w:snapToGrid w:val="0"/>
        <w:spacing w:line="360" w:lineRule="auto"/>
        <w:rPr>
          <w:rFonts w:ascii="宋体"/>
          <w:b/>
          <w:sz w:val="24"/>
          <w:szCs w:val="24"/>
        </w:rPr>
      </w:pPr>
      <w:r>
        <w:rPr>
          <w:rFonts w:hint="eastAsia" w:ascii="宋体"/>
          <w:b/>
          <w:sz w:val="24"/>
          <w:szCs w:val="24"/>
        </w:rPr>
        <w:t>一、合同货物</w:t>
      </w:r>
    </w:p>
    <w:tbl>
      <w:tblPr>
        <w:tblStyle w:val="21"/>
        <w:tblW w:w="928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47"/>
        <w:gridCol w:w="1316"/>
        <w:gridCol w:w="773"/>
        <w:gridCol w:w="680"/>
        <w:gridCol w:w="1364"/>
        <w:gridCol w:w="1264"/>
        <w:gridCol w:w="1048"/>
        <w:gridCol w:w="119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1647" w:type="dxa"/>
            <w:vMerge w:val="restart"/>
            <w:tcBorders>
              <w:top w:val="single" w:color="auto" w:sz="4" w:space="0"/>
              <w:left w:val="single" w:color="auto" w:sz="4" w:space="0"/>
              <w:right w:val="single" w:color="auto" w:sz="4" w:space="0"/>
              <w:tl2br w:val="nil"/>
              <w:tr2bl w:val="nil"/>
            </w:tcBorders>
            <w:vAlign w:val="center"/>
          </w:tcPr>
          <w:p>
            <w:pPr>
              <w:adjustRightInd w:val="0"/>
              <w:snapToGrid w:val="0"/>
              <w:jc w:val="center"/>
              <w:rPr>
                <w:rFonts w:ascii="宋体"/>
                <w:sz w:val="24"/>
                <w:szCs w:val="24"/>
              </w:rPr>
            </w:pPr>
            <w:r>
              <w:rPr>
                <w:rFonts w:hint="eastAsia" w:ascii="宋体" w:cs="Arial"/>
                <w:sz w:val="24"/>
                <w:szCs w:val="24"/>
              </w:rPr>
              <w:t>货物品名</w:t>
            </w:r>
          </w:p>
        </w:tc>
        <w:tc>
          <w:tcPr>
            <w:tcW w:w="1316" w:type="dxa"/>
            <w:vMerge w:val="restart"/>
            <w:tcBorders>
              <w:top w:val="single" w:color="auto" w:sz="4" w:space="0"/>
              <w:left w:val="single" w:color="auto" w:sz="4" w:space="0"/>
              <w:right w:val="single" w:color="auto" w:sz="4" w:space="0"/>
              <w:tl2br w:val="nil"/>
              <w:tr2bl w:val="nil"/>
            </w:tcBorders>
            <w:vAlign w:val="center"/>
          </w:tcPr>
          <w:p>
            <w:pPr>
              <w:adjustRightInd w:val="0"/>
              <w:snapToGrid w:val="0"/>
              <w:jc w:val="center"/>
              <w:rPr>
                <w:rFonts w:ascii="宋体" w:cs="Arial"/>
                <w:sz w:val="24"/>
                <w:szCs w:val="24"/>
              </w:rPr>
            </w:pPr>
            <w:r>
              <w:rPr>
                <w:rFonts w:hint="eastAsia" w:ascii="宋体" w:cs="Arial"/>
                <w:sz w:val="24"/>
                <w:szCs w:val="24"/>
              </w:rPr>
              <w:t>规格</w:t>
            </w:r>
          </w:p>
          <w:p>
            <w:pPr>
              <w:adjustRightInd w:val="0"/>
              <w:snapToGrid w:val="0"/>
              <w:jc w:val="center"/>
              <w:rPr>
                <w:rFonts w:ascii="宋体"/>
                <w:sz w:val="24"/>
                <w:szCs w:val="24"/>
              </w:rPr>
            </w:pPr>
            <w:r>
              <w:rPr>
                <w:rFonts w:hint="eastAsia" w:ascii="宋体" w:cs="Arial"/>
                <w:sz w:val="24"/>
                <w:szCs w:val="24"/>
              </w:rPr>
              <w:t>型号</w:t>
            </w:r>
          </w:p>
        </w:tc>
        <w:tc>
          <w:tcPr>
            <w:tcW w:w="773" w:type="dxa"/>
            <w:vMerge w:val="restart"/>
            <w:tcBorders>
              <w:top w:val="single" w:color="auto" w:sz="4" w:space="0"/>
              <w:left w:val="single" w:color="auto" w:sz="4" w:space="0"/>
              <w:right w:val="single" w:color="auto" w:sz="4" w:space="0"/>
              <w:tl2br w:val="nil"/>
              <w:tr2bl w:val="nil"/>
            </w:tcBorders>
            <w:vAlign w:val="center"/>
          </w:tcPr>
          <w:p>
            <w:pPr>
              <w:adjustRightInd w:val="0"/>
              <w:snapToGrid w:val="0"/>
              <w:jc w:val="center"/>
              <w:rPr>
                <w:rFonts w:ascii="宋体"/>
                <w:sz w:val="24"/>
                <w:szCs w:val="24"/>
              </w:rPr>
            </w:pPr>
            <w:r>
              <w:rPr>
                <w:rFonts w:hint="eastAsia" w:ascii="宋体" w:cs="Arial"/>
                <w:sz w:val="24"/>
                <w:szCs w:val="24"/>
              </w:rPr>
              <w:t>单位</w:t>
            </w:r>
          </w:p>
        </w:tc>
        <w:tc>
          <w:tcPr>
            <w:tcW w:w="680" w:type="dxa"/>
            <w:vMerge w:val="restart"/>
            <w:tcBorders>
              <w:top w:val="single" w:color="auto" w:sz="4" w:space="0"/>
              <w:left w:val="single" w:color="auto" w:sz="4" w:space="0"/>
              <w:right w:val="single" w:color="auto" w:sz="4" w:space="0"/>
              <w:tl2br w:val="nil"/>
              <w:tr2bl w:val="nil"/>
            </w:tcBorders>
            <w:vAlign w:val="center"/>
          </w:tcPr>
          <w:p>
            <w:pPr>
              <w:adjustRightInd w:val="0"/>
              <w:snapToGrid w:val="0"/>
              <w:jc w:val="center"/>
              <w:rPr>
                <w:rFonts w:ascii="宋体"/>
                <w:sz w:val="24"/>
                <w:szCs w:val="24"/>
              </w:rPr>
            </w:pPr>
            <w:r>
              <w:rPr>
                <w:rFonts w:hint="eastAsia" w:ascii="宋体" w:cs="Arial"/>
                <w:sz w:val="24"/>
                <w:szCs w:val="24"/>
              </w:rPr>
              <w:t>数量</w:t>
            </w:r>
          </w:p>
        </w:tc>
        <w:tc>
          <w:tcPr>
            <w:tcW w:w="1364" w:type="dxa"/>
            <w:vMerge w:val="restart"/>
            <w:tcBorders>
              <w:top w:val="single" w:color="auto" w:sz="4" w:space="0"/>
              <w:left w:val="single" w:color="auto" w:sz="4" w:space="0"/>
              <w:right w:val="single" w:color="auto" w:sz="4" w:space="0"/>
              <w:tl2br w:val="nil"/>
              <w:tr2bl w:val="nil"/>
            </w:tcBorders>
            <w:vAlign w:val="center"/>
          </w:tcPr>
          <w:p>
            <w:pPr>
              <w:adjustRightInd w:val="0"/>
              <w:snapToGrid w:val="0"/>
              <w:jc w:val="center"/>
              <w:rPr>
                <w:rFonts w:ascii="宋体" w:cs="Arial"/>
                <w:sz w:val="24"/>
                <w:szCs w:val="24"/>
              </w:rPr>
            </w:pPr>
            <w:r>
              <w:rPr>
                <w:rFonts w:hint="eastAsia" w:ascii="宋体" w:cs="Arial"/>
                <w:sz w:val="24"/>
                <w:szCs w:val="24"/>
                <w:lang w:eastAsia="zh-CN"/>
              </w:rPr>
              <w:t>含税</w:t>
            </w:r>
            <w:r>
              <w:rPr>
                <w:rFonts w:hint="eastAsia" w:ascii="宋体" w:cs="Arial"/>
                <w:sz w:val="24"/>
                <w:szCs w:val="24"/>
              </w:rPr>
              <w:t>单价</w:t>
            </w:r>
          </w:p>
          <w:p>
            <w:pPr>
              <w:adjustRightInd w:val="0"/>
              <w:snapToGrid w:val="0"/>
              <w:jc w:val="center"/>
              <w:rPr>
                <w:rFonts w:ascii="宋体" w:cs="Arial"/>
                <w:sz w:val="24"/>
                <w:szCs w:val="24"/>
              </w:rPr>
            </w:pPr>
            <w:r>
              <w:rPr>
                <w:rFonts w:hint="eastAsia" w:ascii="宋体" w:cs="Arial"/>
                <w:sz w:val="24"/>
                <w:szCs w:val="24"/>
              </w:rPr>
              <w:t>（元）</w:t>
            </w:r>
          </w:p>
        </w:tc>
        <w:tc>
          <w:tcPr>
            <w:tcW w:w="1264" w:type="dxa"/>
            <w:vMerge w:val="restart"/>
            <w:tcBorders>
              <w:top w:val="single" w:color="auto" w:sz="4" w:space="0"/>
              <w:left w:val="single" w:color="auto" w:sz="4" w:space="0"/>
              <w:right w:val="single" w:color="auto" w:sz="4" w:space="0"/>
              <w:tl2br w:val="nil"/>
              <w:tr2bl w:val="nil"/>
            </w:tcBorders>
            <w:vAlign w:val="center"/>
          </w:tcPr>
          <w:p>
            <w:pPr>
              <w:adjustRightInd w:val="0"/>
              <w:snapToGrid w:val="0"/>
              <w:jc w:val="center"/>
              <w:rPr>
                <w:rFonts w:ascii="宋体" w:cs="Arial"/>
                <w:sz w:val="24"/>
                <w:szCs w:val="24"/>
              </w:rPr>
            </w:pPr>
            <w:r>
              <w:rPr>
                <w:rFonts w:hint="eastAsia" w:ascii="宋体" w:cs="Arial"/>
                <w:sz w:val="24"/>
                <w:szCs w:val="24"/>
                <w:lang w:eastAsia="zh-CN"/>
              </w:rPr>
              <w:t>含税</w:t>
            </w:r>
            <w:r>
              <w:rPr>
                <w:rFonts w:hint="eastAsia" w:ascii="宋体" w:cs="Arial"/>
                <w:sz w:val="24"/>
                <w:szCs w:val="24"/>
              </w:rPr>
              <w:t>总价</w:t>
            </w:r>
          </w:p>
          <w:p>
            <w:pPr>
              <w:adjustRightInd w:val="0"/>
              <w:snapToGrid w:val="0"/>
              <w:jc w:val="center"/>
              <w:rPr>
                <w:rFonts w:ascii="宋体" w:cs="Arial"/>
                <w:sz w:val="24"/>
                <w:szCs w:val="24"/>
              </w:rPr>
            </w:pPr>
            <w:r>
              <w:rPr>
                <w:rFonts w:hint="eastAsia" w:ascii="宋体" w:cs="Arial"/>
                <w:sz w:val="24"/>
                <w:szCs w:val="24"/>
              </w:rPr>
              <w:t>（元）</w:t>
            </w:r>
          </w:p>
        </w:tc>
        <w:tc>
          <w:tcPr>
            <w:tcW w:w="1048" w:type="dxa"/>
            <w:vMerge w:val="restart"/>
            <w:tcBorders>
              <w:top w:val="single" w:color="auto" w:sz="4" w:space="0"/>
              <w:left w:val="single" w:color="auto" w:sz="4" w:space="0"/>
              <w:right w:val="single" w:color="auto" w:sz="4" w:space="0"/>
              <w:tl2br w:val="nil"/>
              <w:tr2bl w:val="nil"/>
            </w:tcBorders>
            <w:vAlign w:val="center"/>
          </w:tcPr>
          <w:p>
            <w:pPr>
              <w:adjustRightInd w:val="0"/>
              <w:snapToGrid w:val="0"/>
              <w:jc w:val="center"/>
              <w:rPr>
                <w:rFonts w:ascii="宋体" w:cs="Arial"/>
                <w:sz w:val="24"/>
                <w:szCs w:val="24"/>
              </w:rPr>
            </w:pPr>
            <w:r>
              <w:rPr>
                <w:rFonts w:hint="eastAsia" w:ascii="宋体" w:cs="Arial"/>
                <w:sz w:val="24"/>
                <w:szCs w:val="24"/>
              </w:rPr>
              <w:t>随机</w:t>
            </w:r>
          </w:p>
          <w:p>
            <w:pPr>
              <w:adjustRightInd w:val="0"/>
              <w:snapToGrid w:val="0"/>
              <w:jc w:val="center"/>
              <w:rPr>
                <w:rFonts w:ascii="宋体"/>
                <w:sz w:val="24"/>
                <w:szCs w:val="24"/>
              </w:rPr>
            </w:pPr>
            <w:r>
              <w:rPr>
                <w:rFonts w:hint="eastAsia" w:ascii="宋体" w:cs="Arial"/>
                <w:sz w:val="24"/>
                <w:szCs w:val="24"/>
              </w:rPr>
              <w:t>配件</w:t>
            </w:r>
          </w:p>
        </w:tc>
        <w:tc>
          <w:tcPr>
            <w:tcW w:w="1195" w:type="dxa"/>
            <w:vMerge w:val="restart"/>
            <w:tcBorders>
              <w:top w:val="single" w:color="auto" w:sz="4" w:space="0"/>
              <w:left w:val="single" w:color="auto" w:sz="4" w:space="0"/>
              <w:right w:val="single" w:color="auto" w:sz="4" w:space="0"/>
              <w:tl2br w:val="nil"/>
              <w:tr2bl w:val="nil"/>
            </w:tcBorders>
            <w:vAlign w:val="center"/>
          </w:tcPr>
          <w:p>
            <w:pPr>
              <w:adjustRightInd w:val="0"/>
              <w:snapToGrid w:val="0"/>
              <w:jc w:val="center"/>
              <w:rPr>
                <w:rFonts w:ascii="宋体"/>
                <w:sz w:val="24"/>
                <w:szCs w:val="24"/>
              </w:rPr>
            </w:pPr>
            <w:r>
              <w:rPr>
                <w:rFonts w:hint="eastAsia" w:ascii="宋体" w:cs="Arial"/>
                <w:sz w:val="24"/>
                <w:szCs w:val="24"/>
              </w:rPr>
              <w:t>交货期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647" w:type="dxa"/>
            <w:vMerge w:val="continue"/>
            <w:tcBorders>
              <w:left w:val="single" w:color="auto" w:sz="4" w:space="0"/>
              <w:bottom w:val="single" w:color="auto" w:sz="4" w:space="0"/>
              <w:right w:val="single" w:color="auto" w:sz="4" w:space="0"/>
              <w:tl2br w:val="nil"/>
              <w:tr2bl w:val="nil"/>
            </w:tcBorders>
            <w:vAlign w:val="center"/>
          </w:tcPr>
          <w:p>
            <w:pPr>
              <w:rPr>
                <w:sz w:val="24"/>
                <w:szCs w:val="24"/>
              </w:rPr>
            </w:pPr>
          </w:p>
        </w:tc>
        <w:tc>
          <w:tcPr>
            <w:tcW w:w="1316" w:type="dxa"/>
            <w:vMerge w:val="continue"/>
            <w:tcBorders>
              <w:left w:val="single" w:color="auto" w:sz="4" w:space="0"/>
              <w:bottom w:val="single" w:color="auto" w:sz="4" w:space="0"/>
              <w:right w:val="single" w:color="auto" w:sz="4" w:space="0"/>
              <w:tl2br w:val="nil"/>
              <w:tr2bl w:val="nil"/>
            </w:tcBorders>
            <w:vAlign w:val="center"/>
          </w:tcPr>
          <w:p>
            <w:pPr>
              <w:rPr>
                <w:sz w:val="24"/>
                <w:szCs w:val="24"/>
              </w:rPr>
            </w:pPr>
          </w:p>
        </w:tc>
        <w:tc>
          <w:tcPr>
            <w:tcW w:w="773" w:type="dxa"/>
            <w:vMerge w:val="continue"/>
            <w:tcBorders>
              <w:left w:val="single" w:color="auto" w:sz="4" w:space="0"/>
              <w:bottom w:val="single" w:color="auto" w:sz="4" w:space="0"/>
              <w:right w:val="single" w:color="auto" w:sz="4" w:space="0"/>
              <w:tl2br w:val="nil"/>
              <w:tr2bl w:val="nil"/>
            </w:tcBorders>
            <w:vAlign w:val="center"/>
          </w:tcPr>
          <w:p>
            <w:pPr>
              <w:rPr>
                <w:sz w:val="24"/>
                <w:szCs w:val="24"/>
              </w:rPr>
            </w:pPr>
          </w:p>
        </w:tc>
        <w:tc>
          <w:tcPr>
            <w:tcW w:w="680" w:type="dxa"/>
            <w:vMerge w:val="continue"/>
            <w:tcBorders>
              <w:left w:val="single" w:color="auto" w:sz="4" w:space="0"/>
              <w:bottom w:val="single" w:color="auto" w:sz="4" w:space="0"/>
              <w:right w:val="single" w:color="auto" w:sz="4" w:space="0"/>
              <w:tl2br w:val="nil"/>
              <w:tr2bl w:val="nil"/>
            </w:tcBorders>
            <w:vAlign w:val="center"/>
          </w:tcPr>
          <w:p>
            <w:pPr>
              <w:rPr>
                <w:sz w:val="24"/>
                <w:szCs w:val="24"/>
              </w:rPr>
            </w:pPr>
          </w:p>
        </w:tc>
        <w:tc>
          <w:tcPr>
            <w:tcW w:w="1364" w:type="dxa"/>
            <w:vMerge w:val="continue"/>
            <w:tcBorders>
              <w:left w:val="single" w:color="auto" w:sz="4" w:space="0"/>
              <w:bottom w:val="single" w:color="auto" w:sz="4" w:space="0"/>
              <w:right w:val="single" w:color="auto" w:sz="4" w:space="0"/>
              <w:tl2br w:val="nil"/>
              <w:tr2bl w:val="nil"/>
            </w:tcBorders>
            <w:vAlign w:val="center"/>
          </w:tcPr>
          <w:p>
            <w:pPr>
              <w:rPr>
                <w:sz w:val="24"/>
                <w:szCs w:val="24"/>
              </w:rPr>
            </w:pPr>
          </w:p>
        </w:tc>
        <w:tc>
          <w:tcPr>
            <w:tcW w:w="1264" w:type="dxa"/>
            <w:vMerge w:val="continue"/>
            <w:tcBorders>
              <w:left w:val="single" w:color="auto" w:sz="4" w:space="0"/>
              <w:bottom w:val="single" w:color="auto" w:sz="4" w:space="0"/>
              <w:right w:val="single" w:color="auto" w:sz="4" w:space="0"/>
              <w:tl2br w:val="nil"/>
              <w:tr2bl w:val="nil"/>
            </w:tcBorders>
            <w:vAlign w:val="center"/>
          </w:tcPr>
          <w:p>
            <w:pPr>
              <w:rPr>
                <w:sz w:val="24"/>
                <w:szCs w:val="24"/>
              </w:rPr>
            </w:pPr>
          </w:p>
        </w:tc>
        <w:tc>
          <w:tcPr>
            <w:tcW w:w="1048" w:type="dxa"/>
            <w:vMerge w:val="continue"/>
            <w:tcBorders>
              <w:left w:val="single" w:color="auto" w:sz="4" w:space="0"/>
              <w:bottom w:val="single" w:color="auto" w:sz="4" w:space="0"/>
              <w:right w:val="single" w:color="auto" w:sz="4" w:space="0"/>
              <w:tl2br w:val="nil"/>
              <w:tr2bl w:val="nil"/>
            </w:tcBorders>
            <w:vAlign w:val="center"/>
          </w:tcPr>
          <w:p>
            <w:pPr>
              <w:rPr>
                <w:sz w:val="24"/>
                <w:szCs w:val="24"/>
              </w:rPr>
            </w:pPr>
          </w:p>
        </w:tc>
        <w:tc>
          <w:tcPr>
            <w:tcW w:w="1195" w:type="dxa"/>
            <w:vMerge w:val="continue"/>
            <w:tcBorders>
              <w:left w:val="single" w:color="auto" w:sz="4" w:space="0"/>
              <w:bottom w:val="single" w:color="auto" w:sz="4" w:space="0"/>
              <w:right w:val="single" w:color="auto" w:sz="4" w:space="0"/>
              <w:tl2br w:val="nil"/>
              <w:tr2bl w:val="nil"/>
            </w:tcBorders>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647"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c>
          <w:tcPr>
            <w:tcW w:w="1316"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c>
          <w:tcPr>
            <w:tcW w:w="773"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c>
          <w:tcPr>
            <w:tcW w:w="68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c>
          <w:tcPr>
            <w:tcW w:w="1364"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c>
          <w:tcPr>
            <w:tcW w:w="1264"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c>
          <w:tcPr>
            <w:tcW w:w="104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c>
          <w:tcPr>
            <w:tcW w:w="1195"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647"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c>
          <w:tcPr>
            <w:tcW w:w="1316"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c>
          <w:tcPr>
            <w:tcW w:w="773"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c>
          <w:tcPr>
            <w:tcW w:w="680"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c>
          <w:tcPr>
            <w:tcW w:w="1364"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c>
          <w:tcPr>
            <w:tcW w:w="1264"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c>
          <w:tcPr>
            <w:tcW w:w="1048"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c>
          <w:tcPr>
            <w:tcW w:w="1195" w:type="dxa"/>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spacing w:line="360" w:lineRule="auto"/>
              <w:jc w:val="center"/>
              <w:rPr>
                <w:rFonts w:ascii="宋体"/>
                <w:sz w:val="24"/>
                <w:szCs w:val="24"/>
              </w:rPr>
            </w:pPr>
          </w:p>
        </w:tc>
      </w:tr>
    </w:tbl>
    <w:p>
      <w:pPr>
        <w:adjustRightInd w:val="0"/>
        <w:snapToGrid w:val="0"/>
        <w:spacing w:line="360" w:lineRule="auto"/>
        <w:rPr>
          <w:rFonts w:ascii="宋体"/>
          <w:sz w:val="24"/>
          <w:szCs w:val="24"/>
          <w:highlight w:val="none"/>
        </w:rPr>
      </w:pPr>
    </w:p>
    <w:p>
      <w:pPr>
        <w:adjustRightInd w:val="0"/>
        <w:snapToGrid w:val="0"/>
        <w:spacing w:line="360" w:lineRule="auto"/>
        <w:rPr>
          <w:rFonts w:ascii="宋体"/>
          <w:sz w:val="24"/>
          <w:szCs w:val="24"/>
          <w:highlight w:val="none"/>
        </w:rPr>
      </w:pPr>
      <w:r>
        <w:rPr>
          <w:rFonts w:hint="eastAsia" w:ascii="宋体"/>
          <w:b/>
          <w:sz w:val="24"/>
          <w:szCs w:val="24"/>
          <w:highlight w:val="none"/>
        </w:rPr>
        <w:t>二、合同总价</w:t>
      </w:r>
    </w:p>
    <w:p>
      <w:pPr>
        <w:pStyle w:val="7"/>
        <w:adjustRightInd w:val="0"/>
        <w:snapToGrid w:val="0"/>
        <w:spacing w:line="360" w:lineRule="auto"/>
        <w:ind w:firstLine="480"/>
        <w:rPr>
          <w:rFonts w:ascii="宋体"/>
          <w:sz w:val="24"/>
          <w:szCs w:val="24"/>
        </w:rPr>
      </w:pPr>
      <w:r>
        <w:rPr>
          <w:rFonts w:hint="eastAsia" w:ascii="宋体"/>
          <w:sz w:val="24"/>
          <w:szCs w:val="24"/>
          <w:highlight w:val="none"/>
        </w:rPr>
        <w:t>合同</w:t>
      </w:r>
      <w:r>
        <w:rPr>
          <w:rFonts w:hint="eastAsia" w:ascii="宋体"/>
          <w:sz w:val="24"/>
          <w:szCs w:val="24"/>
          <w:highlight w:val="none"/>
          <w:lang w:eastAsia="zh-CN"/>
        </w:rPr>
        <w:t>含税</w:t>
      </w:r>
      <w:r>
        <w:rPr>
          <w:rFonts w:hint="eastAsia" w:ascii="宋体"/>
          <w:sz w:val="24"/>
          <w:szCs w:val="24"/>
          <w:highlight w:val="none"/>
        </w:rPr>
        <w:t>总价为人民币：</w:t>
      </w:r>
      <w:r>
        <w:rPr>
          <w:rFonts w:hint="eastAsia" w:ascii="宋体"/>
          <w:sz w:val="24"/>
          <w:szCs w:val="24"/>
          <w:highlight w:val="none"/>
          <w:u w:val="single"/>
        </w:rPr>
        <w:t xml:space="preserve">                </w:t>
      </w:r>
      <w:r>
        <w:rPr>
          <w:rFonts w:hint="eastAsia" w:ascii="宋体"/>
          <w:sz w:val="24"/>
          <w:szCs w:val="24"/>
          <w:highlight w:val="none"/>
        </w:rPr>
        <w:t>元，</w:t>
      </w:r>
      <w:r>
        <w:rPr>
          <w:rFonts w:hint="eastAsia" w:ascii="宋体"/>
          <w:sz w:val="24"/>
          <w:szCs w:val="24"/>
          <w:highlight w:val="none"/>
          <w:lang w:val="en-US" w:eastAsia="zh-CN"/>
        </w:rPr>
        <w:t>大写</w:t>
      </w:r>
      <w:r>
        <w:rPr>
          <w:rFonts w:hint="eastAsia" w:ascii="宋体"/>
          <w:sz w:val="24"/>
          <w:szCs w:val="24"/>
          <w:highlight w:val="none"/>
          <w:u w:val="single"/>
        </w:rPr>
        <w:t xml:space="preserve">        </w:t>
      </w:r>
      <w:r>
        <w:rPr>
          <w:rFonts w:hint="eastAsia" w:ascii="宋体"/>
          <w:sz w:val="24"/>
          <w:szCs w:val="24"/>
          <w:highlight w:val="none"/>
        </w:rPr>
        <w:t>元</w:t>
      </w:r>
      <w:r>
        <w:rPr>
          <w:rFonts w:hint="eastAsia" w:ascii="宋体"/>
          <w:sz w:val="24"/>
          <w:szCs w:val="24"/>
          <w:highlight w:val="none"/>
          <w:lang w:eastAsia="zh-CN"/>
        </w:rPr>
        <w:t>，不含税价人民币：</w:t>
      </w:r>
      <w:r>
        <w:rPr>
          <w:rFonts w:hint="eastAsia" w:ascii="宋体"/>
          <w:sz w:val="24"/>
          <w:szCs w:val="24"/>
          <w:highlight w:val="none"/>
          <w:u w:val="single"/>
        </w:rPr>
        <w:t xml:space="preserve">                </w:t>
      </w:r>
      <w:r>
        <w:rPr>
          <w:rFonts w:hint="eastAsia" w:ascii="宋体"/>
          <w:sz w:val="24"/>
          <w:szCs w:val="24"/>
          <w:highlight w:val="none"/>
        </w:rPr>
        <w:t>元</w:t>
      </w:r>
      <w:r>
        <w:rPr>
          <w:rFonts w:hint="eastAsia" w:ascii="宋体"/>
          <w:sz w:val="24"/>
          <w:szCs w:val="24"/>
          <w:highlight w:val="none"/>
          <w:lang w:eastAsia="zh-CN"/>
        </w:rPr>
        <w:t>，增值税额</w:t>
      </w:r>
      <w:r>
        <w:rPr>
          <w:rFonts w:hint="eastAsia" w:ascii="宋体"/>
          <w:sz w:val="24"/>
          <w:szCs w:val="24"/>
          <w:highlight w:val="none"/>
          <w:u w:val="single"/>
        </w:rPr>
        <w:t xml:space="preserve">                </w:t>
      </w:r>
      <w:r>
        <w:rPr>
          <w:rFonts w:hint="eastAsia" w:ascii="宋体"/>
          <w:sz w:val="24"/>
          <w:szCs w:val="24"/>
          <w:highlight w:val="none"/>
        </w:rPr>
        <w:t>元</w:t>
      </w:r>
      <w:r>
        <w:rPr>
          <w:rFonts w:hint="eastAsia" w:ascii="宋体"/>
          <w:sz w:val="24"/>
          <w:szCs w:val="24"/>
          <w:highlight w:val="none"/>
          <w:lang w:eastAsia="zh-CN"/>
        </w:rPr>
        <w:t>，乙方开具税率</w:t>
      </w:r>
      <w:r>
        <w:rPr>
          <w:rFonts w:hint="eastAsia" w:ascii="宋体"/>
          <w:sz w:val="24"/>
          <w:szCs w:val="24"/>
          <w:highlight w:val="none"/>
          <w:u w:val="single"/>
        </w:rPr>
        <w:t xml:space="preserve">  </w:t>
      </w:r>
      <w:r>
        <w:rPr>
          <w:rFonts w:hint="eastAsia" w:ascii="宋体"/>
          <w:sz w:val="24"/>
          <w:szCs w:val="24"/>
          <w:highlight w:val="none"/>
          <w:u w:val="single"/>
          <w:lang w:val="en-US" w:eastAsia="zh-CN"/>
        </w:rPr>
        <w:t>%的</w:t>
      </w:r>
      <w:r>
        <w:rPr>
          <w:rFonts w:hint="eastAsia" w:ascii="宋体"/>
          <w:sz w:val="24"/>
          <w:szCs w:val="24"/>
          <w:highlight w:val="none"/>
          <w:lang w:val="en-US" w:eastAsia="zh-CN"/>
        </w:rPr>
        <w:t>增值税专用发票</w:t>
      </w:r>
      <w:r>
        <w:rPr>
          <w:rFonts w:hint="eastAsia" w:ascii="宋体"/>
          <w:sz w:val="24"/>
          <w:szCs w:val="24"/>
          <w:highlight w:val="none"/>
        </w:rPr>
        <w:t>；该合同总价已包括货物设计、材料、制造、包装、运输、安装、调试、检测、验收合格交付</w:t>
      </w:r>
      <w:r>
        <w:rPr>
          <w:rFonts w:hint="eastAsia" w:ascii="宋体"/>
          <w:sz w:val="24"/>
          <w:szCs w:val="24"/>
        </w:rPr>
        <w:t>使用之前及保修期内保修服务与备用物件等所有其他有关各项的含税费用。本合同执行期间合同总价不变，甲方无须另向乙方支付本合同规定之外的其他任何费用。</w:t>
      </w:r>
    </w:p>
    <w:p>
      <w:pPr>
        <w:tabs>
          <w:tab w:val="left" w:pos="2145"/>
        </w:tabs>
        <w:adjustRightInd w:val="0"/>
        <w:snapToGrid w:val="0"/>
        <w:spacing w:line="360" w:lineRule="auto"/>
        <w:rPr>
          <w:rFonts w:ascii="宋体"/>
          <w:sz w:val="24"/>
          <w:szCs w:val="24"/>
        </w:rPr>
      </w:pPr>
      <w:r>
        <w:rPr>
          <w:rFonts w:hint="eastAsia" w:ascii="宋体"/>
          <w:b/>
          <w:sz w:val="24"/>
          <w:szCs w:val="24"/>
        </w:rPr>
        <w:t>三、质量要求</w:t>
      </w:r>
    </w:p>
    <w:p>
      <w:pPr>
        <w:adjustRightInd w:val="0"/>
        <w:snapToGrid w:val="0"/>
        <w:spacing w:line="360" w:lineRule="auto"/>
        <w:ind w:firstLine="480"/>
        <w:rPr>
          <w:rFonts w:ascii="宋体"/>
          <w:sz w:val="24"/>
          <w:szCs w:val="24"/>
        </w:rPr>
      </w:pPr>
      <w:r>
        <w:rPr>
          <w:rFonts w:hint="eastAsia" w:ascii="宋体"/>
          <w:sz w:val="24"/>
          <w:szCs w:val="24"/>
        </w:rPr>
        <w:t>1．乙方须提供全新的货物（含零部件、配件等），表面无划伤、无碰撞痕迹，且权属清楚，不得侵害他人的知识产权。</w:t>
      </w:r>
    </w:p>
    <w:p>
      <w:pPr>
        <w:adjustRightInd w:val="0"/>
        <w:snapToGrid w:val="0"/>
        <w:spacing w:line="360" w:lineRule="auto"/>
        <w:ind w:firstLine="480"/>
        <w:rPr>
          <w:rFonts w:ascii="宋体"/>
          <w:sz w:val="24"/>
          <w:szCs w:val="24"/>
        </w:rPr>
      </w:pPr>
      <w:r>
        <w:rPr>
          <w:rFonts w:hint="eastAsia" w:ascii="宋体"/>
          <w:sz w:val="24"/>
          <w:szCs w:val="24"/>
        </w:rPr>
        <w:t>2.货物必须符合或优于国家（行业）</w:t>
      </w:r>
      <w:r>
        <w:rPr>
          <w:rFonts w:hint="eastAsia" w:ascii="宋体"/>
          <w:sz w:val="24"/>
          <w:szCs w:val="24"/>
          <w:u w:val="single"/>
        </w:rPr>
        <w:t xml:space="preserve">          </w:t>
      </w:r>
      <w:r>
        <w:rPr>
          <w:rFonts w:hint="eastAsia" w:ascii="宋体"/>
          <w:sz w:val="24"/>
          <w:szCs w:val="24"/>
        </w:rPr>
        <w:t>标准，以及本项目招标文件的质量要求和技术指标与出厂标准。</w:t>
      </w:r>
    </w:p>
    <w:p>
      <w:pPr>
        <w:adjustRightInd w:val="0"/>
        <w:snapToGrid w:val="0"/>
        <w:spacing w:line="360" w:lineRule="auto"/>
        <w:ind w:firstLine="480"/>
        <w:rPr>
          <w:rFonts w:ascii="宋体"/>
          <w:sz w:val="24"/>
          <w:szCs w:val="24"/>
        </w:rPr>
      </w:pPr>
      <w:r>
        <w:rPr>
          <w:rFonts w:hint="eastAsia" w:ascii="宋体"/>
          <w:sz w:val="24"/>
          <w:szCs w:val="24"/>
        </w:rPr>
        <w:t>3.乙方须在本合同签订之日起</w:t>
      </w:r>
      <w:r>
        <w:rPr>
          <w:rFonts w:hint="eastAsia" w:ascii="宋体"/>
          <w:sz w:val="24"/>
          <w:szCs w:val="24"/>
          <w:u w:val="single"/>
        </w:rPr>
        <w:t xml:space="preserve">   </w:t>
      </w:r>
      <w:r>
        <w:rPr>
          <w:rFonts w:hint="eastAsia" w:ascii="宋体"/>
          <w:sz w:val="24"/>
          <w:szCs w:val="24"/>
        </w:rPr>
        <w:t>日内送交货物成品样品给甲方确认，在甲方出具样品确认书并封存成品样品外观尺寸后，乙方才能按样生产，并以此样品作为验收样品；每台货物上均应有产品质量检验合格标志。</w:t>
      </w:r>
    </w:p>
    <w:p>
      <w:pPr>
        <w:adjustRightInd w:val="0"/>
        <w:snapToGrid w:val="0"/>
        <w:spacing w:line="360" w:lineRule="auto"/>
        <w:ind w:firstLine="480"/>
        <w:rPr>
          <w:rFonts w:ascii="宋体"/>
          <w:sz w:val="24"/>
          <w:szCs w:val="24"/>
        </w:rPr>
      </w:pPr>
      <w:r>
        <w:rPr>
          <w:rFonts w:hint="eastAsia" w:ascii="宋体"/>
          <w:sz w:val="24"/>
          <w:szCs w:val="24"/>
        </w:rPr>
        <w:t>4．货物制造质量出现问题，乙方应负责三包（包修、包换、包退），费用由乙方负担，甲方有权到乙方生产场地检查货物质量和生产进度。</w:t>
      </w:r>
    </w:p>
    <w:p>
      <w:pPr>
        <w:adjustRightInd w:val="0"/>
        <w:snapToGrid w:val="0"/>
        <w:spacing w:line="360" w:lineRule="auto"/>
        <w:ind w:firstLine="480"/>
        <w:rPr>
          <w:rFonts w:ascii="宋体"/>
          <w:b/>
          <w:sz w:val="24"/>
          <w:szCs w:val="24"/>
        </w:rPr>
      </w:pPr>
      <w:r>
        <w:rPr>
          <w:rFonts w:hint="eastAsia" w:ascii="宋体"/>
          <w:sz w:val="24"/>
          <w:szCs w:val="24"/>
        </w:rPr>
        <w:t>5．货到现场后由于甲方保管不当造成的质量问题，乙方亦应负责修理，但费用由甲方负担。</w:t>
      </w:r>
    </w:p>
    <w:p>
      <w:pPr>
        <w:adjustRightInd w:val="0"/>
        <w:snapToGrid w:val="0"/>
        <w:spacing w:line="360" w:lineRule="auto"/>
        <w:ind w:firstLine="472" w:firstLineChars="196"/>
        <w:rPr>
          <w:rFonts w:ascii="宋体"/>
          <w:sz w:val="24"/>
          <w:szCs w:val="24"/>
        </w:rPr>
      </w:pPr>
      <w:r>
        <w:rPr>
          <w:rFonts w:hint="eastAsia" w:ascii="宋体"/>
          <w:b/>
          <w:sz w:val="24"/>
          <w:szCs w:val="24"/>
        </w:rPr>
        <w:t>四、交货及验收</w:t>
      </w:r>
    </w:p>
    <w:p>
      <w:pPr>
        <w:adjustRightInd w:val="0"/>
        <w:snapToGrid w:val="0"/>
        <w:spacing w:line="360" w:lineRule="auto"/>
        <w:ind w:firstLine="480"/>
        <w:rPr>
          <w:rFonts w:ascii="宋体"/>
          <w:sz w:val="24"/>
          <w:szCs w:val="24"/>
        </w:rPr>
      </w:pPr>
      <w:r>
        <w:rPr>
          <w:rFonts w:hint="eastAsia" w:ascii="宋体"/>
          <w:sz w:val="24"/>
          <w:szCs w:val="24"/>
        </w:rPr>
        <w:t>1．乙方交货期限为合同签订生效后的____日内，在合同签订生效之日起___天内交货到甲方指定地点，随即在_____日内全部完成安装调试验收合格交付使用，并且最迟应在____年______月______日前全部完成安装调试验收合格交付使用(如由于采购人的原因造成合同延迟签订或验收的，时间顺延)。交货验收时须提供产品质检部门从同类产品中抽样检查合格的检测报告。</w:t>
      </w:r>
    </w:p>
    <w:p>
      <w:pPr>
        <w:adjustRightInd w:val="0"/>
        <w:snapToGrid w:val="0"/>
        <w:spacing w:line="360" w:lineRule="auto"/>
        <w:ind w:firstLine="480"/>
        <w:rPr>
          <w:rFonts w:ascii="宋体"/>
          <w:sz w:val="24"/>
          <w:szCs w:val="24"/>
        </w:rPr>
      </w:pPr>
      <w:r>
        <w:rPr>
          <w:rFonts w:hint="eastAsia" w:ascii="宋体"/>
          <w:sz w:val="24"/>
          <w:szCs w:val="24"/>
        </w:rPr>
        <w:t>2．验收由甲方组织，乙方配合进行：</w:t>
      </w:r>
    </w:p>
    <w:p>
      <w:pPr>
        <w:adjustRightInd w:val="0"/>
        <w:snapToGrid w:val="0"/>
        <w:spacing w:line="360" w:lineRule="auto"/>
        <w:ind w:firstLine="480"/>
        <w:rPr>
          <w:rFonts w:ascii="宋体"/>
          <w:sz w:val="24"/>
          <w:szCs w:val="24"/>
        </w:rPr>
      </w:pPr>
      <w:r>
        <w:rPr>
          <w:rFonts w:hint="eastAsia" w:ascii="宋体"/>
          <w:sz w:val="24"/>
          <w:szCs w:val="24"/>
        </w:rPr>
        <w:t>(1) 货物在乙方通知安装调试完毕后</w:t>
      </w:r>
      <w:r>
        <w:rPr>
          <w:rFonts w:hint="eastAsia" w:ascii="宋体"/>
          <w:sz w:val="24"/>
          <w:szCs w:val="24"/>
          <w:u w:val="single"/>
        </w:rPr>
        <w:t xml:space="preserve">    </w:t>
      </w:r>
      <w:r>
        <w:rPr>
          <w:rFonts w:hint="eastAsia" w:ascii="宋体"/>
          <w:sz w:val="24"/>
          <w:szCs w:val="24"/>
        </w:rPr>
        <w:t>日内初步验收。初步验收合格后，进入</w:t>
      </w:r>
      <w:r>
        <w:rPr>
          <w:rFonts w:hint="eastAsia" w:ascii="宋体"/>
          <w:sz w:val="24"/>
          <w:szCs w:val="24"/>
          <w:u w:val="single"/>
        </w:rPr>
        <w:t xml:space="preserve">    </w:t>
      </w:r>
      <w:r>
        <w:rPr>
          <w:rFonts w:hint="eastAsia" w:ascii="宋体"/>
          <w:sz w:val="24"/>
          <w:szCs w:val="24"/>
        </w:rPr>
        <w:t>试用期；试用期间发生重大质量问题，修复后试用相应顺延；试用期结束后</w:t>
      </w:r>
      <w:r>
        <w:rPr>
          <w:rFonts w:hint="eastAsia" w:ascii="宋体"/>
          <w:sz w:val="24"/>
          <w:szCs w:val="24"/>
          <w:u w:val="single"/>
        </w:rPr>
        <w:t xml:space="preserve">    </w:t>
      </w:r>
      <w:r>
        <w:rPr>
          <w:rFonts w:hint="eastAsia" w:ascii="宋体"/>
          <w:sz w:val="24"/>
          <w:szCs w:val="24"/>
        </w:rPr>
        <w:t>日内完成最终验收；</w:t>
      </w:r>
    </w:p>
    <w:p>
      <w:pPr>
        <w:adjustRightInd w:val="0"/>
        <w:snapToGrid w:val="0"/>
        <w:spacing w:line="360" w:lineRule="auto"/>
        <w:ind w:firstLine="480"/>
        <w:rPr>
          <w:rFonts w:ascii="宋体"/>
          <w:sz w:val="24"/>
          <w:szCs w:val="24"/>
        </w:rPr>
      </w:pPr>
      <w:r>
        <w:rPr>
          <w:rFonts w:hint="eastAsia" w:ascii="宋体"/>
          <w:sz w:val="24"/>
          <w:szCs w:val="24"/>
        </w:rPr>
        <w:t>(2) 验收标准：按国家有关规定以及甲方磋商文件的质量要求和技术指标、乙方的响应文件及承诺与本合同约定标准进行验收；甲乙双方如对质量要求和技术指标的约定标准有相互抵触或异议的事项，由甲方在磋商与响应文件中按质量要求和技术指标比较优胜的原则确定该项的约定标准进行验收；</w:t>
      </w:r>
    </w:p>
    <w:p>
      <w:pPr>
        <w:adjustRightInd w:val="0"/>
        <w:snapToGrid w:val="0"/>
        <w:spacing w:line="360" w:lineRule="auto"/>
        <w:ind w:firstLine="480"/>
        <w:rPr>
          <w:rFonts w:ascii="宋体"/>
          <w:sz w:val="24"/>
          <w:szCs w:val="24"/>
        </w:rPr>
      </w:pPr>
      <w:r>
        <w:rPr>
          <w:rFonts w:hint="eastAsia" w:ascii="宋体"/>
          <w:sz w:val="24"/>
          <w:szCs w:val="24"/>
        </w:rPr>
        <w:t>(3) 验收时如发现所交付的货物有短装、次品、损坏或其它不符合标准及本合同规定之情形者，甲方应做出详尽的现场记录，或由甲乙双方签署备忘录，此现场记录或备忘录可用作补充、缺失和更换损坏部件的有效证据，由此产生的时间延误与有关费用由乙方承担，验收期限相应顺延；</w:t>
      </w:r>
    </w:p>
    <w:p>
      <w:pPr>
        <w:adjustRightInd w:val="0"/>
        <w:snapToGrid w:val="0"/>
        <w:spacing w:line="360" w:lineRule="auto"/>
        <w:ind w:firstLine="480"/>
        <w:rPr>
          <w:rFonts w:ascii="宋体"/>
          <w:sz w:val="24"/>
          <w:szCs w:val="24"/>
        </w:rPr>
      </w:pPr>
      <w:r>
        <w:rPr>
          <w:rFonts w:hint="eastAsia" w:ascii="宋体"/>
          <w:sz w:val="24"/>
          <w:szCs w:val="24"/>
        </w:rPr>
        <w:t>(4) 如质量验收合格，双方签署质量验收报告。</w:t>
      </w:r>
    </w:p>
    <w:p>
      <w:pPr>
        <w:adjustRightInd w:val="0"/>
        <w:snapToGrid w:val="0"/>
        <w:spacing w:line="360" w:lineRule="auto"/>
        <w:ind w:firstLine="480"/>
        <w:rPr>
          <w:rFonts w:ascii="宋体"/>
          <w:sz w:val="24"/>
          <w:szCs w:val="24"/>
        </w:rPr>
      </w:pPr>
      <w:r>
        <w:rPr>
          <w:rFonts w:hint="eastAsia" w:ascii="宋体"/>
          <w:sz w:val="24"/>
          <w:szCs w:val="24"/>
        </w:rPr>
        <w:t>3．货物安装完成后</w:t>
      </w:r>
      <w:r>
        <w:rPr>
          <w:rFonts w:hint="eastAsia" w:ascii="宋体"/>
          <w:sz w:val="24"/>
          <w:szCs w:val="24"/>
          <w:u w:val="single"/>
        </w:rPr>
        <w:t xml:space="preserve">     </w:t>
      </w:r>
      <w:r>
        <w:rPr>
          <w:rFonts w:hint="eastAsia" w:ascii="宋体"/>
          <w:sz w:val="24"/>
          <w:szCs w:val="24"/>
        </w:rPr>
        <w:t>日内，甲方无故不进行验收工作并已使用货物的，视同已安装调试完成并验收合格。</w:t>
      </w:r>
    </w:p>
    <w:p>
      <w:pPr>
        <w:adjustRightInd w:val="0"/>
        <w:snapToGrid w:val="0"/>
        <w:spacing w:line="360" w:lineRule="auto"/>
        <w:ind w:firstLine="480"/>
        <w:rPr>
          <w:rFonts w:ascii="宋体"/>
          <w:sz w:val="24"/>
          <w:szCs w:val="24"/>
        </w:rPr>
      </w:pPr>
      <w:r>
        <w:rPr>
          <w:rFonts w:hint="eastAsia" w:ascii="宋体"/>
          <w:sz w:val="24"/>
          <w:szCs w:val="24"/>
        </w:rPr>
        <w:t>4．乙方应将所提供货物的装箱清单、配件、随机工具、用户使用手册、原厂保修卡等资料交付给甲方；乙方不能完整交付货物及本款规定的单证和工具的，必须负责补齐，否则视为未按合同约定交货。</w:t>
      </w:r>
    </w:p>
    <w:p>
      <w:pPr>
        <w:adjustRightInd w:val="0"/>
        <w:snapToGrid w:val="0"/>
        <w:spacing w:line="360" w:lineRule="auto"/>
        <w:ind w:firstLine="480"/>
        <w:rPr>
          <w:rFonts w:ascii="宋体"/>
          <w:sz w:val="24"/>
          <w:szCs w:val="24"/>
        </w:rPr>
      </w:pPr>
      <w:r>
        <w:rPr>
          <w:rFonts w:hint="eastAsia" w:ascii="宋体"/>
          <w:sz w:val="24"/>
          <w:szCs w:val="24"/>
        </w:rPr>
        <w:t>5．如货物经乙方</w:t>
      </w:r>
      <w:r>
        <w:rPr>
          <w:rFonts w:hint="eastAsia" w:ascii="宋体"/>
          <w:sz w:val="24"/>
          <w:szCs w:val="24"/>
          <w:u w:val="single"/>
        </w:rPr>
        <w:t xml:space="preserve">   </w:t>
      </w:r>
      <w:r>
        <w:rPr>
          <w:rFonts w:hint="eastAsia" w:ascii="宋体"/>
          <w:sz w:val="24"/>
          <w:szCs w:val="24"/>
        </w:rPr>
        <w:t>次维修仍不能达到合同约定的质量标准，甲方有权退货，并视作乙方不能交付货物而须支付违约赔偿金给甲方，甲方还可依法追究乙方的违约责任。</w:t>
      </w:r>
    </w:p>
    <w:p>
      <w:pPr>
        <w:adjustRightInd w:val="0"/>
        <w:snapToGrid w:val="0"/>
        <w:spacing w:line="360" w:lineRule="auto"/>
        <w:ind w:firstLine="480"/>
        <w:rPr>
          <w:rFonts w:ascii="宋体"/>
          <w:b/>
          <w:sz w:val="24"/>
          <w:szCs w:val="24"/>
        </w:rPr>
      </w:pPr>
      <w:r>
        <w:rPr>
          <w:rFonts w:hint="eastAsia" w:ascii="宋体"/>
          <w:sz w:val="24"/>
          <w:szCs w:val="24"/>
        </w:rPr>
        <w:t>6．其他未尽事宜应严格按照《</w:t>
      </w:r>
      <w:r>
        <w:rPr>
          <w:rFonts w:hint="eastAsia" w:ascii="宋体"/>
          <w:sz w:val="24"/>
          <w:szCs w:val="24"/>
          <w:lang w:eastAsia="zh-CN"/>
        </w:rPr>
        <w:t>财政部关于进一步加强政府采购需求和履约验收管理的指导意见</w:t>
      </w:r>
      <w:r>
        <w:rPr>
          <w:rFonts w:hint="eastAsia" w:ascii="宋体"/>
          <w:sz w:val="24"/>
          <w:szCs w:val="24"/>
        </w:rPr>
        <w:t>》（</w:t>
      </w:r>
      <w:r>
        <w:rPr>
          <w:rFonts w:hint="eastAsia" w:ascii="宋体"/>
          <w:sz w:val="24"/>
          <w:szCs w:val="24"/>
          <w:lang w:eastAsia="zh-CN"/>
        </w:rPr>
        <w:t>财库</w:t>
      </w:r>
      <w:r>
        <w:rPr>
          <w:rFonts w:hint="eastAsia" w:ascii="宋体"/>
          <w:sz w:val="24"/>
          <w:szCs w:val="24"/>
        </w:rPr>
        <w:t>〔201</w:t>
      </w:r>
      <w:r>
        <w:rPr>
          <w:rFonts w:hint="eastAsia" w:ascii="宋体"/>
          <w:sz w:val="24"/>
          <w:szCs w:val="24"/>
          <w:lang w:val="en-US" w:eastAsia="zh-CN"/>
        </w:rPr>
        <w:t>6</w:t>
      </w:r>
      <w:r>
        <w:rPr>
          <w:rFonts w:hint="eastAsia" w:ascii="宋体"/>
          <w:sz w:val="24"/>
          <w:szCs w:val="24"/>
        </w:rPr>
        <w:t>〕</w:t>
      </w:r>
      <w:r>
        <w:rPr>
          <w:rFonts w:hint="eastAsia" w:ascii="宋体"/>
          <w:sz w:val="24"/>
          <w:szCs w:val="24"/>
          <w:lang w:val="en-US" w:eastAsia="zh-CN"/>
        </w:rPr>
        <w:t>205</w:t>
      </w:r>
      <w:r>
        <w:rPr>
          <w:rFonts w:hint="eastAsia" w:ascii="宋体"/>
          <w:sz w:val="24"/>
          <w:szCs w:val="24"/>
        </w:rPr>
        <w:t>号）的要求进行。</w:t>
      </w:r>
    </w:p>
    <w:p>
      <w:pPr>
        <w:adjustRightInd w:val="0"/>
        <w:snapToGrid w:val="0"/>
        <w:spacing w:line="360" w:lineRule="auto"/>
        <w:ind w:firstLine="472" w:firstLineChars="196"/>
        <w:rPr>
          <w:rFonts w:ascii="宋体"/>
          <w:sz w:val="24"/>
          <w:szCs w:val="24"/>
        </w:rPr>
      </w:pPr>
      <w:r>
        <w:rPr>
          <w:rFonts w:hint="eastAsia" w:ascii="宋体"/>
          <w:b/>
          <w:sz w:val="24"/>
          <w:szCs w:val="24"/>
        </w:rPr>
        <w:t>五、付款方式</w:t>
      </w:r>
    </w:p>
    <w:p>
      <w:pPr>
        <w:adjustRightInd w:val="0"/>
        <w:snapToGrid w:val="0"/>
        <w:spacing w:line="360" w:lineRule="auto"/>
        <w:ind w:firstLine="480"/>
        <w:rPr>
          <w:rFonts w:ascii="宋体"/>
          <w:sz w:val="24"/>
          <w:szCs w:val="24"/>
        </w:rPr>
      </w:pPr>
      <w:r>
        <w:rPr>
          <w:rFonts w:hint="eastAsia" w:ascii="宋体"/>
          <w:sz w:val="24"/>
          <w:szCs w:val="24"/>
        </w:rPr>
        <w:t>1．甲方在本合同签订生效之日起接到乙方通知和票据凭证资料以及乙方交给甲方的合同履约保证金（按合同总价的百分之</w:t>
      </w:r>
      <w:r>
        <w:rPr>
          <w:rFonts w:hint="eastAsia" w:ascii="宋体"/>
          <w:sz w:val="24"/>
          <w:szCs w:val="24"/>
          <w:u w:val="single"/>
        </w:rPr>
        <w:t xml:space="preserve">  </w:t>
      </w:r>
      <w:r>
        <w:rPr>
          <w:rFonts w:hint="eastAsia" w:ascii="宋体"/>
          <w:sz w:val="24"/>
          <w:szCs w:val="24"/>
        </w:rPr>
        <w:t>计算款额</w:t>
      </w:r>
      <w:r>
        <w:rPr>
          <w:rFonts w:hint="eastAsia" w:ascii="宋体" w:cs="Calibri"/>
          <w:sz w:val="24"/>
          <w:szCs w:val="24"/>
        </w:rPr>
        <w:t>¥</w:t>
      </w:r>
      <w:r>
        <w:rPr>
          <w:rFonts w:hint="eastAsia" w:ascii="宋体"/>
          <w:sz w:val="24"/>
          <w:szCs w:val="24"/>
          <w:u w:val="single"/>
        </w:rPr>
        <w:t xml:space="preserve">             </w:t>
      </w:r>
      <w:r>
        <w:rPr>
          <w:rFonts w:hint="eastAsia" w:ascii="宋体"/>
          <w:sz w:val="24"/>
          <w:szCs w:val="24"/>
        </w:rPr>
        <w:t>元，人民币大写：</w:t>
      </w:r>
      <w:r>
        <w:rPr>
          <w:rFonts w:hint="eastAsia" w:ascii="宋体"/>
          <w:sz w:val="24"/>
          <w:szCs w:val="24"/>
          <w:u w:val="single"/>
        </w:rPr>
        <w:t xml:space="preserve">                            </w:t>
      </w:r>
      <w:r>
        <w:rPr>
          <w:rFonts w:hint="eastAsia" w:ascii="宋体"/>
          <w:sz w:val="24"/>
          <w:szCs w:val="24"/>
        </w:rPr>
        <w:t>元整）后的</w:t>
      </w:r>
      <w:r>
        <w:rPr>
          <w:rFonts w:hint="eastAsia" w:ascii="宋体"/>
          <w:sz w:val="24"/>
          <w:szCs w:val="24"/>
          <w:u w:val="single"/>
        </w:rPr>
        <w:t xml:space="preserve">    </w:t>
      </w:r>
      <w:r>
        <w:rPr>
          <w:rFonts w:hint="eastAsia" w:ascii="宋体"/>
          <w:sz w:val="24"/>
          <w:szCs w:val="24"/>
        </w:rPr>
        <w:t>日内支付合同金额百分之</w:t>
      </w:r>
      <w:r>
        <w:rPr>
          <w:rFonts w:hint="eastAsia" w:ascii="宋体"/>
          <w:sz w:val="24"/>
          <w:szCs w:val="24"/>
          <w:u w:val="single"/>
        </w:rPr>
        <w:t xml:space="preserve">     </w:t>
      </w:r>
      <w:r>
        <w:rPr>
          <w:rFonts w:hint="eastAsia" w:ascii="宋体"/>
          <w:sz w:val="24"/>
          <w:szCs w:val="24"/>
        </w:rPr>
        <w:t>的价款；</w:t>
      </w:r>
    </w:p>
    <w:p>
      <w:pPr>
        <w:adjustRightInd w:val="0"/>
        <w:snapToGrid w:val="0"/>
        <w:spacing w:line="360" w:lineRule="auto"/>
        <w:ind w:firstLine="480"/>
        <w:rPr>
          <w:rFonts w:ascii="宋体"/>
          <w:sz w:val="24"/>
          <w:szCs w:val="24"/>
        </w:rPr>
      </w:pPr>
      <w:r>
        <w:rPr>
          <w:rFonts w:hint="eastAsia" w:ascii="宋体"/>
          <w:sz w:val="24"/>
          <w:szCs w:val="24"/>
        </w:rPr>
        <w:t>2．全部货物安装调试完毕并验收合格之日起，甲方接到乙方通知与票据凭证资料以后的</w:t>
      </w:r>
      <w:r>
        <w:rPr>
          <w:rFonts w:hint="eastAsia" w:ascii="宋体"/>
          <w:sz w:val="24"/>
          <w:szCs w:val="24"/>
          <w:u w:val="single"/>
        </w:rPr>
        <w:t xml:space="preserve">      </w:t>
      </w:r>
      <w:r>
        <w:rPr>
          <w:rFonts w:hint="eastAsia" w:ascii="宋体"/>
          <w:sz w:val="24"/>
          <w:szCs w:val="24"/>
        </w:rPr>
        <w:t>日内，向乙方</w:t>
      </w:r>
      <w:r>
        <w:rPr>
          <w:rFonts w:hint="eastAsia" w:ascii="宋体"/>
          <w:sz w:val="24"/>
          <w:szCs w:val="24"/>
          <w:lang w:eastAsia="zh-CN"/>
        </w:rPr>
        <w:t>支付</w:t>
      </w:r>
      <w:r>
        <w:rPr>
          <w:rFonts w:hint="eastAsia" w:ascii="宋体"/>
          <w:sz w:val="24"/>
          <w:szCs w:val="24"/>
        </w:rPr>
        <w:t>合同总价的百分之</w:t>
      </w:r>
      <w:r>
        <w:rPr>
          <w:rFonts w:hint="eastAsia" w:ascii="宋体"/>
          <w:sz w:val="24"/>
          <w:szCs w:val="24"/>
          <w:u w:val="single"/>
        </w:rPr>
        <w:t xml:space="preserve">   </w:t>
      </w:r>
      <w:r>
        <w:rPr>
          <w:rFonts w:hint="eastAsia" w:ascii="宋体"/>
          <w:sz w:val="24"/>
          <w:szCs w:val="24"/>
        </w:rPr>
        <w:t>款项：</w:t>
      </w:r>
      <w:r>
        <w:rPr>
          <w:rFonts w:hint="eastAsia" w:ascii="宋体" w:cs="Calibri"/>
          <w:sz w:val="24"/>
          <w:szCs w:val="24"/>
        </w:rPr>
        <w:t>¥</w:t>
      </w:r>
      <w:r>
        <w:rPr>
          <w:rFonts w:hint="eastAsia" w:ascii="宋体"/>
          <w:sz w:val="24"/>
          <w:szCs w:val="24"/>
          <w:u w:val="single"/>
        </w:rPr>
        <w:t xml:space="preserve">     </w:t>
      </w:r>
      <w:r>
        <w:rPr>
          <w:rFonts w:hint="eastAsia" w:ascii="宋体"/>
          <w:sz w:val="24"/>
          <w:szCs w:val="24"/>
        </w:rPr>
        <w:t>元，人民币大写</w:t>
      </w:r>
      <w:r>
        <w:rPr>
          <w:rFonts w:hint="eastAsia" w:ascii="宋体"/>
          <w:sz w:val="24"/>
          <w:szCs w:val="24"/>
          <w:u w:val="single"/>
        </w:rPr>
        <w:t xml:space="preserve">    </w:t>
      </w:r>
      <w:r>
        <w:rPr>
          <w:rFonts w:hint="eastAsia" w:ascii="宋体"/>
          <w:sz w:val="24"/>
          <w:szCs w:val="24"/>
        </w:rPr>
        <w:t>元整；</w:t>
      </w:r>
    </w:p>
    <w:p>
      <w:pPr>
        <w:adjustRightInd w:val="0"/>
        <w:snapToGrid w:val="0"/>
        <w:spacing w:line="360" w:lineRule="auto"/>
        <w:ind w:firstLine="480"/>
        <w:rPr>
          <w:rFonts w:ascii="宋体"/>
          <w:sz w:val="24"/>
          <w:szCs w:val="24"/>
        </w:rPr>
      </w:pPr>
      <w:r>
        <w:rPr>
          <w:rFonts w:hint="eastAsia" w:ascii="宋体"/>
          <w:sz w:val="24"/>
          <w:szCs w:val="24"/>
        </w:rPr>
        <w:t>3．合同履约保证金：在货物验收合格满</w:t>
      </w:r>
      <w:r>
        <w:rPr>
          <w:rFonts w:hint="eastAsia" w:ascii="宋体"/>
          <w:sz w:val="24"/>
          <w:szCs w:val="24"/>
          <w:u w:val="single"/>
        </w:rPr>
        <w:t xml:space="preserve">    </w:t>
      </w:r>
      <w:r>
        <w:rPr>
          <w:rFonts w:hint="eastAsia" w:ascii="宋体"/>
          <w:sz w:val="24"/>
          <w:szCs w:val="24"/>
        </w:rPr>
        <w:t>后，甲方财务部门接到乙方通知和支付凭证资料文件，以及由甲方确认本合同货物质量与服务等约定事项已经履行完毕的正式书面文件后的</w:t>
      </w:r>
      <w:r>
        <w:rPr>
          <w:rFonts w:hint="eastAsia" w:ascii="宋体"/>
          <w:sz w:val="24"/>
          <w:szCs w:val="24"/>
          <w:u w:val="single"/>
        </w:rPr>
        <w:t xml:space="preserve">     </w:t>
      </w:r>
      <w:r>
        <w:rPr>
          <w:rFonts w:hint="eastAsia" w:ascii="宋体"/>
          <w:sz w:val="24"/>
          <w:szCs w:val="24"/>
        </w:rPr>
        <w:t>日内，向乙方</w:t>
      </w:r>
      <w:r>
        <w:rPr>
          <w:rFonts w:hint="eastAsia" w:ascii="宋体"/>
          <w:sz w:val="24"/>
          <w:szCs w:val="24"/>
          <w:lang w:eastAsia="zh-CN"/>
        </w:rPr>
        <w:t>退还履约保证金</w:t>
      </w:r>
      <w:r>
        <w:rPr>
          <w:rFonts w:hint="eastAsia" w:ascii="宋体" w:cs="Calibri"/>
          <w:sz w:val="24"/>
          <w:szCs w:val="24"/>
        </w:rPr>
        <w:t>¥</w:t>
      </w:r>
      <w:r>
        <w:rPr>
          <w:rFonts w:hint="eastAsia" w:ascii="宋体"/>
          <w:sz w:val="24"/>
          <w:szCs w:val="24"/>
          <w:u w:val="single"/>
        </w:rPr>
        <w:t xml:space="preserve">      </w:t>
      </w:r>
      <w:r>
        <w:rPr>
          <w:rFonts w:hint="eastAsia" w:ascii="宋体"/>
          <w:sz w:val="24"/>
          <w:szCs w:val="24"/>
        </w:rPr>
        <w:t>元， 人民币大写：</w:t>
      </w:r>
      <w:r>
        <w:rPr>
          <w:rFonts w:hint="eastAsia" w:ascii="宋体"/>
          <w:sz w:val="24"/>
          <w:szCs w:val="24"/>
          <w:u w:val="single"/>
        </w:rPr>
        <w:t xml:space="preserve">              </w:t>
      </w:r>
      <w:r>
        <w:rPr>
          <w:rFonts w:hint="eastAsia" w:ascii="宋体"/>
          <w:sz w:val="24"/>
          <w:szCs w:val="24"/>
        </w:rPr>
        <w:t>元整；</w:t>
      </w:r>
    </w:p>
    <w:p>
      <w:pPr>
        <w:adjustRightInd w:val="0"/>
        <w:snapToGrid w:val="0"/>
        <w:spacing w:line="360" w:lineRule="auto"/>
        <w:ind w:firstLine="480"/>
        <w:rPr>
          <w:rFonts w:ascii="宋体"/>
          <w:b/>
          <w:sz w:val="24"/>
          <w:szCs w:val="24"/>
        </w:rPr>
      </w:pPr>
      <w:r>
        <w:rPr>
          <w:rFonts w:hint="eastAsia" w:ascii="宋体"/>
          <w:sz w:val="24"/>
          <w:szCs w:val="24"/>
        </w:rPr>
        <w:t>4．乙方须向甲方出具合法有效完整的完税发票及凭证资料进行支付结算。</w:t>
      </w:r>
    </w:p>
    <w:p>
      <w:pPr>
        <w:pStyle w:val="48"/>
        <w:adjustRightInd w:val="0"/>
        <w:snapToGrid w:val="0"/>
        <w:spacing w:line="360" w:lineRule="auto"/>
        <w:ind w:firstLine="482"/>
        <w:rPr>
          <w:rFonts w:ascii="宋体"/>
          <w:sz w:val="24"/>
          <w:szCs w:val="24"/>
        </w:rPr>
      </w:pPr>
      <w:r>
        <w:rPr>
          <w:rFonts w:hint="eastAsia" w:ascii="宋体"/>
          <w:b/>
          <w:sz w:val="24"/>
          <w:szCs w:val="24"/>
        </w:rPr>
        <w:t>六、售后服务</w:t>
      </w:r>
    </w:p>
    <w:p>
      <w:pPr>
        <w:adjustRightInd w:val="0"/>
        <w:snapToGrid w:val="0"/>
        <w:spacing w:line="360" w:lineRule="auto"/>
        <w:ind w:firstLine="480"/>
        <w:rPr>
          <w:rFonts w:ascii="宋体"/>
          <w:sz w:val="24"/>
          <w:szCs w:val="24"/>
        </w:rPr>
      </w:pPr>
      <w:r>
        <w:rPr>
          <w:rFonts w:hint="eastAsia" w:ascii="宋体"/>
          <w:sz w:val="24"/>
          <w:szCs w:val="24"/>
        </w:rPr>
        <w:t>1．质保期为验收合格后_____年，质保期内出现质量问题，乙方在接到通知后</w:t>
      </w:r>
      <w:r>
        <w:rPr>
          <w:rFonts w:hint="eastAsia" w:ascii="宋体"/>
          <w:sz w:val="24"/>
          <w:szCs w:val="24"/>
          <w:u w:val="single"/>
        </w:rPr>
        <w:t xml:space="preserve">   </w:t>
      </w:r>
      <w:r>
        <w:rPr>
          <w:rFonts w:hint="eastAsia" w:ascii="宋体"/>
          <w:sz w:val="24"/>
          <w:szCs w:val="24"/>
        </w:rPr>
        <w:t>小时内响应到场，</w:t>
      </w:r>
      <w:r>
        <w:rPr>
          <w:rFonts w:hint="eastAsia" w:ascii="宋体"/>
          <w:sz w:val="24"/>
          <w:szCs w:val="24"/>
          <w:u w:val="single"/>
        </w:rPr>
        <w:t xml:space="preserve">    </w:t>
      </w:r>
      <w:r>
        <w:rPr>
          <w:rFonts w:hint="eastAsia" w:ascii="宋体"/>
          <w:sz w:val="24"/>
          <w:szCs w:val="24"/>
        </w:rPr>
        <w:t>小时内完成维修或更换，并承担修理调换的费用；如货物经乙方</w:t>
      </w:r>
      <w:r>
        <w:rPr>
          <w:rFonts w:hint="eastAsia" w:ascii="宋体"/>
          <w:sz w:val="24"/>
          <w:szCs w:val="24"/>
          <w:u w:val="single"/>
        </w:rPr>
        <w:t xml:space="preserve">   </w:t>
      </w:r>
      <w:r>
        <w:rPr>
          <w:rFonts w:hint="eastAsia" w:ascii="宋体"/>
          <w:sz w:val="24"/>
          <w:szCs w:val="24"/>
        </w:rPr>
        <w:t>次维修仍不能达到本合同约定的质量标准，视作乙方未能按时交货，甲方有权退货并追究乙方的违约责任。货到现场后由于甲方保管不当造成的问题，乙方亦应负责修复，但费用由甲方负担。</w:t>
      </w:r>
    </w:p>
    <w:p>
      <w:pPr>
        <w:adjustRightInd w:val="0"/>
        <w:snapToGrid w:val="0"/>
        <w:spacing w:line="360" w:lineRule="auto"/>
        <w:ind w:firstLine="480"/>
        <w:rPr>
          <w:rFonts w:ascii="宋体"/>
          <w:b/>
          <w:sz w:val="24"/>
          <w:szCs w:val="24"/>
        </w:rPr>
      </w:pPr>
      <w:r>
        <w:rPr>
          <w:rFonts w:hint="eastAsia" w:ascii="宋体"/>
          <w:sz w:val="24"/>
          <w:szCs w:val="24"/>
        </w:rPr>
        <w:t>2．乙方须指派专人负责与甲方联系售后服务事宜。</w:t>
      </w:r>
    </w:p>
    <w:p>
      <w:pPr>
        <w:adjustRightInd w:val="0"/>
        <w:snapToGrid w:val="0"/>
        <w:spacing w:line="360" w:lineRule="auto"/>
        <w:ind w:firstLine="472" w:firstLineChars="196"/>
        <w:rPr>
          <w:rFonts w:ascii="宋体"/>
          <w:sz w:val="24"/>
          <w:szCs w:val="24"/>
        </w:rPr>
      </w:pPr>
      <w:r>
        <w:rPr>
          <w:rFonts w:hint="eastAsia" w:ascii="宋体"/>
          <w:b/>
          <w:sz w:val="24"/>
          <w:szCs w:val="24"/>
        </w:rPr>
        <w:t>七、违约责任</w:t>
      </w:r>
    </w:p>
    <w:p>
      <w:pPr>
        <w:adjustRightInd w:val="0"/>
        <w:snapToGrid w:val="0"/>
        <w:spacing w:line="360" w:lineRule="auto"/>
        <w:ind w:firstLine="480"/>
        <w:rPr>
          <w:rFonts w:ascii="宋体"/>
          <w:sz w:val="24"/>
          <w:szCs w:val="24"/>
        </w:rPr>
      </w:pPr>
      <w:r>
        <w:rPr>
          <w:rFonts w:hint="eastAsia" w:ascii="宋体"/>
          <w:sz w:val="24"/>
          <w:szCs w:val="24"/>
        </w:rPr>
        <w:t>1．甲方违约责任</w:t>
      </w:r>
    </w:p>
    <w:p>
      <w:pPr>
        <w:adjustRightInd w:val="0"/>
        <w:snapToGrid w:val="0"/>
        <w:spacing w:line="360" w:lineRule="auto"/>
        <w:ind w:firstLine="480"/>
        <w:rPr>
          <w:rFonts w:ascii="宋体"/>
          <w:sz w:val="24"/>
          <w:szCs w:val="24"/>
        </w:rPr>
      </w:pPr>
      <w:r>
        <w:rPr>
          <w:rFonts w:hint="eastAsia" w:ascii="宋体"/>
          <w:sz w:val="24"/>
          <w:szCs w:val="24"/>
        </w:rPr>
        <w:t>(1) 甲方无正当理由拒收货物的，甲方应偿付合同总价百分之</w:t>
      </w:r>
      <w:r>
        <w:rPr>
          <w:rFonts w:hint="eastAsia" w:ascii="宋体"/>
          <w:sz w:val="24"/>
          <w:szCs w:val="24"/>
          <w:u w:val="single"/>
        </w:rPr>
        <w:t xml:space="preserve">  </w:t>
      </w:r>
      <w:r>
        <w:rPr>
          <w:rFonts w:hint="eastAsia" w:ascii="宋体"/>
          <w:sz w:val="24"/>
          <w:szCs w:val="24"/>
        </w:rPr>
        <w:t>的违约金；</w:t>
      </w:r>
    </w:p>
    <w:p>
      <w:pPr>
        <w:adjustRightInd w:val="0"/>
        <w:snapToGrid w:val="0"/>
        <w:spacing w:line="360" w:lineRule="auto"/>
        <w:ind w:firstLine="480"/>
        <w:rPr>
          <w:rFonts w:ascii="宋体"/>
          <w:sz w:val="24"/>
          <w:szCs w:val="24"/>
        </w:rPr>
      </w:pPr>
      <w:r>
        <w:rPr>
          <w:rFonts w:hint="eastAsia" w:ascii="宋体"/>
          <w:sz w:val="24"/>
          <w:szCs w:val="24"/>
        </w:rPr>
        <w:t>(2) 甲方逾期支付货款的，除应及时付足货款外，应向乙方偿付欠款总额万分之</w:t>
      </w:r>
      <w:r>
        <w:rPr>
          <w:rFonts w:hint="eastAsia" w:ascii="宋体"/>
          <w:sz w:val="24"/>
          <w:szCs w:val="24"/>
          <w:u w:val="single"/>
        </w:rPr>
        <w:t xml:space="preserve">  </w:t>
      </w:r>
      <w:r>
        <w:rPr>
          <w:rFonts w:hint="eastAsia" w:ascii="宋体"/>
          <w:sz w:val="24"/>
          <w:szCs w:val="24"/>
        </w:rPr>
        <w:t xml:space="preserve"> /天的违约金；逾期付款超过</w:t>
      </w:r>
      <w:r>
        <w:rPr>
          <w:rFonts w:hint="eastAsia" w:ascii="宋体"/>
          <w:sz w:val="24"/>
          <w:szCs w:val="24"/>
          <w:u w:val="single"/>
        </w:rPr>
        <w:t xml:space="preserve">  </w:t>
      </w:r>
      <w:r>
        <w:rPr>
          <w:rFonts w:hint="eastAsia" w:ascii="宋体"/>
          <w:sz w:val="24"/>
          <w:szCs w:val="24"/>
        </w:rPr>
        <w:t>天的，乙方有权终止合同；</w:t>
      </w:r>
    </w:p>
    <w:p>
      <w:pPr>
        <w:adjustRightInd w:val="0"/>
        <w:snapToGrid w:val="0"/>
        <w:spacing w:line="360" w:lineRule="auto"/>
        <w:ind w:firstLine="480"/>
        <w:rPr>
          <w:rFonts w:ascii="宋体"/>
          <w:sz w:val="24"/>
          <w:szCs w:val="24"/>
        </w:rPr>
      </w:pPr>
      <w:r>
        <w:rPr>
          <w:rFonts w:hint="eastAsia" w:ascii="宋体"/>
          <w:sz w:val="24"/>
          <w:szCs w:val="24"/>
        </w:rPr>
        <w:t>(3) 甲方偿付的违约金不足以弥补乙方损失的，还应按乙方损失尚未弥补的部分，支付赔偿金给乙方。</w:t>
      </w:r>
    </w:p>
    <w:p>
      <w:pPr>
        <w:adjustRightInd w:val="0"/>
        <w:snapToGrid w:val="0"/>
        <w:spacing w:line="360" w:lineRule="auto"/>
        <w:ind w:firstLine="480"/>
        <w:rPr>
          <w:rFonts w:ascii="宋体"/>
          <w:sz w:val="24"/>
          <w:szCs w:val="24"/>
        </w:rPr>
      </w:pPr>
      <w:r>
        <w:rPr>
          <w:rFonts w:hint="eastAsia" w:ascii="宋体"/>
          <w:sz w:val="24"/>
          <w:szCs w:val="24"/>
        </w:rPr>
        <w:t>2．乙方违约责任</w:t>
      </w:r>
    </w:p>
    <w:p>
      <w:pPr>
        <w:adjustRightInd w:val="0"/>
        <w:snapToGrid w:val="0"/>
        <w:spacing w:line="360" w:lineRule="auto"/>
        <w:ind w:firstLine="480"/>
        <w:rPr>
          <w:rFonts w:ascii="宋体"/>
          <w:sz w:val="24"/>
          <w:szCs w:val="24"/>
        </w:rPr>
      </w:pPr>
      <w:r>
        <w:rPr>
          <w:rFonts w:hint="eastAsia" w:ascii="宋体"/>
          <w:sz w:val="24"/>
          <w:szCs w:val="24"/>
        </w:rPr>
        <w:t>(1)乙方交付的货物质量不符合合同规定的，乙方应向甲方支付合同总价的百分之</w:t>
      </w:r>
      <w:r>
        <w:rPr>
          <w:rFonts w:hint="eastAsia" w:ascii="宋体"/>
          <w:sz w:val="24"/>
          <w:szCs w:val="24"/>
          <w:u w:val="single"/>
        </w:rPr>
        <w:t xml:space="preserve">  </w:t>
      </w:r>
      <w:r>
        <w:rPr>
          <w:rFonts w:hint="eastAsia" w:ascii="宋体"/>
          <w:sz w:val="24"/>
          <w:szCs w:val="24"/>
        </w:rPr>
        <w:t>___的违约金，并须在合同规定的交货时间内更换合格的货物给甲方，否则，视作乙方不能交付货物而违约，按本条本款下述第“(2)”项规定由乙方偿付违约赔偿金给甲方。</w:t>
      </w:r>
    </w:p>
    <w:p>
      <w:pPr>
        <w:adjustRightInd w:val="0"/>
        <w:snapToGrid w:val="0"/>
        <w:spacing w:line="360" w:lineRule="auto"/>
        <w:ind w:firstLine="480"/>
        <w:rPr>
          <w:rFonts w:ascii="宋体"/>
          <w:sz w:val="24"/>
          <w:szCs w:val="24"/>
        </w:rPr>
      </w:pPr>
      <w:r>
        <w:rPr>
          <w:rFonts w:hint="eastAsia" w:ascii="宋体"/>
          <w:sz w:val="24"/>
          <w:szCs w:val="24"/>
        </w:rPr>
        <w:t>(2)乙方不能交付货物或逾期交付货物而违约的，除应及时交足货物外，应向甲方偿付逾期交货部分货款总额的万分之</w:t>
      </w:r>
      <w:r>
        <w:rPr>
          <w:rFonts w:hint="eastAsia" w:ascii="宋体"/>
          <w:sz w:val="24"/>
          <w:szCs w:val="24"/>
          <w:u w:val="single"/>
        </w:rPr>
        <w:t xml:space="preserve">  </w:t>
      </w:r>
      <w:r>
        <w:rPr>
          <w:rFonts w:hint="eastAsia" w:ascii="宋体"/>
          <w:sz w:val="24"/>
          <w:szCs w:val="24"/>
        </w:rPr>
        <w:t xml:space="preserve"> /天的违约金；逾期交货超过____天，甲方有权终止合同，乙方则应按合同总价的百分之</w:t>
      </w:r>
      <w:r>
        <w:rPr>
          <w:rFonts w:hint="eastAsia" w:ascii="宋体"/>
          <w:sz w:val="24"/>
          <w:szCs w:val="24"/>
          <w:u w:val="single"/>
        </w:rPr>
        <w:t xml:space="preserve">  </w:t>
      </w:r>
      <w:r>
        <w:rPr>
          <w:rFonts w:hint="eastAsia" w:ascii="宋体"/>
          <w:sz w:val="24"/>
          <w:szCs w:val="24"/>
        </w:rPr>
        <w:t>的款额向甲方偿付赔偿金，并须全额退还甲方已经付给乙方的货款及其利息。</w:t>
      </w:r>
    </w:p>
    <w:p>
      <w:pPr>
        <w:adjustRightInd w:val="0"/>
        <w:snapToGrid w:val="0"/>
        <w:spacing w:line="360" w:lineRule="auto"/>
        <w:ind w:firstLine="480"/>
        <w:rPr>
          <w:rFonts w:ascii="宋体"/>
          <w:sz w:val="24"/>
          <w:szCs w:val="24"/>
        </w:rPr>
      </w:pPr>
      <w:r>
        <w:rPr>
          <w:rFonts w:hint="eastAsia" w:ascii="宋体"/>
          <w:sz w:val="24"/>
          <w:szCs w:val="24"/>
        </w:rPr>
        <w:t>(3)乙方货物经甲方送交具有法定资格条件的质量技术监督机构检测后，如检测结果认定货物质量不符合本合同规定标准的，则视为乙方没有按时交货而违约，乙方须在______天内无条件更换合格的货物，如逾期不能更换合格的货物，甲方有权终止本合同，乙方应另付合同总价的百分之</w:t>
      </w:r>
      <w:r>
        <w:rPr>
          <w:rFonts w:hint="eastAsia" w:ascii="宋体"/>
          <w:sz w:val="24"/>
          <w:szCs w:val="24"/>
          <w:u w:val="single"/>
        </w:rPr>
        <w:t xml:space="preserve">   </w:t>
      </w:r>
      <w:r>
        <w:rPr>
          <w:rFonts w:hint="eastAsia" w:ascii="宋体"/>
          <w:sz w:val="24"/>
          <w:szCs w:val="24"/>
        </w:rPr>
        <w:t>的赔偿金给甲方。</w:t>
      </w:r>
    </w:p>
    <w:p>
      <w:pPr>
        <w:adjustRightInd w:val="0"/>
        <w:snapToGrid w:val="0"/>
        <w:spacing w:line="360" w:lineRule="auto"/>
        <w:ind w:firstLine="480"/>
        <w:rPr>
          <w:rFonts w:ascii="宋体"/>
          <w:sz w:val="24"/>
          <w:szCs w:val="24"/>
        </w:rPr>
      </w:pPr>
      <w:r>
        <w:rPr>
          <w:rFonts w:hint="eastAsia" w:ascii="宋体"/>
          <w:sz w:val="24"/>
          <w:szCs w:val="24"/>
        </w:rPr>
        <w:t>(4)乙方保证本合同货物的权利无瑕疵，包括货物所有权及知识产权等权利无瑕疵。如任何第三方经法院（或仲裁机构）裁决有权对上述货物主张权利或国家机关依法对货物进行没收查处的，乙方除应向甲方返还已收款项外，还应另按合同总价的百分之</w:t>
      </w:r>
      <w:r>
        <w:rPr>
          <w:rFonts w:hint="eastAsia" w:ascii="宋体"/>
          <w:sz w:val="24"/>
          <w:szCs w:val="24"/>
          <w:u w:val="single"/>
        </w:rPr>
        <w:t xml:space="preserve">   </w:t>
      </w:r>
      <w:r>
        <w:rPr>
          <w:rFonts w:hint="eastAsia" w:ascii="宋体"/>
          <w:sz w:val="24"/>
          <w:szCs w:val="24"/>
        </w:rPr>
        <w:t>向甲方支付违约金并赔偿因此给甲方造成的一切损失。</w:t>
      </w:r>
    </w:p>
    <w:p>
      <w:pPr>
        <w:adjustRightInd w:val="0"/>
        <w:snapToGrid w:val="0"/>
        <w:spacing w:line="360" w:lineRule="auto"/>
        <w:ind w:firstLine="480"/>
        <w:rPr>
          <w:rFonts w:ascii="宋体"/>
          <w:b/>
          <w:sz w:val="24"/>
          <w:szCs w:val="24"/>
        </w:rPr>
      </w:pPr>
      <w:r>
        <w:rPr>
          <w:rFonts w:hint="eastAsia" w:ascii="宋体"/>
          <w:sz w:val="24"/>
          <w:szCs w:val="24"/>
        </w:rPr>
        <w:t>(5)乙方偿付的违约金不足以弥补甲方损失的，还应按甲方损失尚未弥补的部分，支付赔偿金给甲方。</w:t>
      </w:r>
    </w:p>
    <w:p>
      <w:pPr>
        <w:adjustRightInd w:val="0"/>
        <w:snapToGrid w:val="0"/>
        <w:spacing w:line="360" w:lineRule="auto"/>
        <w:ind w:firstLine="479" w:firstLineChars="199"/>
        <w:rPr>
          <w:rFonts w:ascii="宋体"/>
          <w:sz w:val="24"/>
          <w:szCs w:val="24"/>
        </w:rPr>
      </w:pPr>
      <w:r>
        <w:rPr>
          <w:rFonts w:hint="eastAsia" w:ascii="宋体"/>
          <w:b/>
          <w:sz w:val="24"/>
          <w:szCs w:val="24"/>
        </w:rPr>
        <w:t>八、争议解决办法</w:t>
      </w:r>
    </w:p>
    <w:p>
      <w:pPr>
        <w:adjustRightInd w:val="0"/>
        <w:snapToGrid w:val="0"/>
        <w:spacing w:line="360" w:lineRule="auto"/>
        <w:ind w:firstLine="480"/>
        <w:rPr>
          <w:rFonts w:ascii="宋体"/>
          <w:sz w:val="24"/>
          <w:szCs w:val="24"/>
        </w:rPr>
      </w:pPr>
      <w:r>
        <w:rPr>
          <w:rFonts w:hint="eastAsia" w:ascii="宋体"/>
          <w:sz w:val="24"/>
          <w:szCs w:val="24"/>
        </w:rPr>
        <w:t>1．因货物的质量问题发生争议，由质量技术监督部门或其指定的质量鉴定机构进行质量鉴定。货物符合标准的，鉴定费由甲方承担；货物不符合质量标准的，鉴定费由乙方承担。</w:t>
      </w:r>
    </w:p>
    <w:p>
      <w:pPr>
        <w:adjustRightInd w:val="0"/>
        <w:snapToGrid w:val="0"/>
        <w:spacing w:line="360" w:lineRule="auto"/>
        <w:ind w:firstLine="480"/>
        <w:rPr>
          <w:rFonts w:ascii="宋体"/>
          <w:sz w:val="24"/>
          <w:szCs w:val="24"/>
        </w:rPr>
      </w:pPr>
      <w:r>
        <w:rPr>
          <w:rFonts w:hint="eastAsia" w:ascii="宋体"/>
          <w:sz w:val="24"/>
          <w:szCs w:val="24"/>
        </w:rPr>
        <w:t>2．合同履行期间,若双方发生争议，可协商或由有关部门调解解决，协商或调解不成的，由当事人依法维护其合法权益。</w:t>
      </w:r>
    </w:p>
    <w:p>
      <w:pPr>
        <w:adjustRightInd w:val="0"/>
        <w:snapToGrid w:val="0"/>
        <w:spacing w:line="360" w:lineRule="auto"/>
        <w:ind w:firstLine="308" w:firstLineChars="128"/>
        <w:rPr>
          <w:rFonts w:ascii="宋体"/>
          <w:sz w:val="24"/>
          <w:szCs w:val="24"/>
        </w:rPr>
      </w:pPr>
      <w:r>
        <w:rPr>
          <w:rFonts w:hint="eastAsia" w:ascii="宋体"/>
          <w:b/>
          <w:sz w:val="24"/>
          <w:szCs w:val="24"/>
        </w:rPr>
        <w:t>九、其他</w:t>
      </w:r>
    </w:p>
    <w:p>
      <w:pPr>
        <w:adjustRightInd w:val="0"/>
        <w:snapToGrid w:val="0"/>
        <w:spacing w:line="360" w:lineRule="auto"/>
        <w:ind w:firstLine="480"/>
        <w:rPr>
          <w:rFonts w:hint="eastAsia" w:ascii="宋体"/>
          <w:sz w:val="24"/>
          <w:szCs w:val="24"/>
        </w:rPr>
      </w:pPr>
      <w:r>
        <w:rPr>
          <w:rFonts w:hint="eastAsia" w:ascii="宋体"/>
          <w:sz w:val="24"/>
          <w:szCs w:val="24"/>
        </w:rPr>
        <w:t>1．合同经双方法定代表人或委托代理人签字盖章后即生效，直至合同约定的权利和义务责任履行完毕后，本合同终止，但相关质量条款和争议解决条款除外。</w:t>
      </w:r>
    </w:p>
    <w:p>
      <w:pPr>
        <w:adjustRightInd w:val="0"/>
        <w:snapToGrid w:val="0"/>
        <w:spacing w:line="360" w:lineRule="auto"/>
        <w:ind w:firstLine="480"/>
        <w:rPr>
          <w:rFonts w:hint="eastAsia" w:ascii="宋体"/>
          <w:sz w:val="24"/>
          <w:szCs w:val="24"/>
        </w:rPr>
      </w:pPr>
      <w:r>
        <w:rPr>
          <w:rFonts w:hint="eastAsia" w:ascii="宋体"/>
          <w:sz w:val="24"/>
          <w:szCs w:val="24"/>
        </w:rPr>
        <w:t>2</w:t>
      </w:r>
      <w:r>
        <w:rPr>
          <w:rFonts w:hint="eastAsia" w:ascii="宋体"/>
          <w:sz w:val="24"/>
          <w:szCs w:val="24"/>
          <w:lang w:val="en-US" w:eastAsia="zh-CN"/>
        </w:rPr>
        <w:t>.</w:t>
      </w:r>
      <w:r>
        <w:rPr>
          <w:rFonts w:hint="eastAsia" w:ascii="宋体"/>
          <w:sz w:val="24"/>
          <w:szCs w:val="24"/>
        </w:rPr>
        <w:t xml:space="preserve"> 本合同如有未尽事宜，双方应友好协商并依法订立补充合同，补充合同与本合同具有同等法律效力。</w:t>
      </w:r>
    </w:p>
    <w:p>
      <w:pPr>
        <w:adjustRightInd w:val="0"/>
        <w:snapToGrid w:val="0"/>
        <w:spacing w:line="360" w:lineRule="auto"/>
        <w:ind w:firstLine="480"/>
        <w:rPr>
          <w:rFonts w:ascii="宋体"/>
          <w:sz w:val="24"/>
          <w:szCs w:val="24"/>
        </w:rPr>
      </w:pPr>
      <w:r>
        <w:rPr>
          <w:rFonts w:hint="eastAsia" w:ascii="宋体"/>
          <w:sz w:val="24"/>
          <w:szCs w:val="24"/>
        </w:rPr>
        <w:t>3</w:t>
      </w:r>
      <w:r>
        <w:rPr>
          <w:rFonts w:hint="eastAsia" w:ascii="宋体"/>
          <w:sz w:val="24"/>
          <w:szCs w:val="24"/>
          <w:lang w:val="en-US" w:eastAsia="zh-CN"/>
        </w:rPr>
        <w:t>.</w:t>
      </w:r>
      <w:r>
        <w:rPr>
          <w:rFonts w:hint="eastAsia" w:ascii="宋体"/>
          <w:sz w:val="24"/>
          <w:szCs w:val="24"/>
        </w:rPr>
        <w:t>本合同正本贰份，副本陆份。双方各执正本壹份，副本叁份。正本与副本不一致时，以正本为准。</w:t>
      </w:r>
    </w:p>
    <w:p>
      <w:pPr>
        <w:adjustRightInd w:val="0"/>
        <w:snapToGrid w:val="0"/>
        <w:spacing w:line="360" w:lineRule="auto"/>
        <w:rPr>
          <w:rFonts w:ascii="宋体"/>
          <w:sz w:val="24"/>
          <w:szCs w:val="24"/>
        </w:rPr>
      </w:pPr>
    </w:p>
    <w:p>
      <w:pPr>
        <w:adjustRightInd w:val="0"/>
        <w:snapToGrid w:val="0"/>
        <w:spacing w:line="360" w:lineRule="auto"/>
        <w:ind w:firstLine="480" w:firstLineChars="200"/>
        <w:rPr>
          <w:rFonts w:ascii="宋体"/>
          <w:sz w:val="24"/>
          <w:szCs w:val="24"/>
        </w:rPr>
      </w:pPr>
      <w:r>
        <w:rPr>
          <w:rFonts w:hint="eastAsia" w:ascii="宋体"/>
          <w:sz w:val="24"/>
          <w:szCs w:val="24"/>
        </w:rPr>
        <w:t>甲方：   （盖章）                  乙方：   （盖章）</w:t>
      </w:r>
    </w:p>
    <w:p>
      <w:pPr>
        <w:adjustRightInd w:val="0"/>
        <w:snapToGrid w:val="0"/>
        <w:spacing w:line="360" w:lineRule="auto"/>
        <w:ind w:firstLine="480" w:firstLineChars="200"/>
        <w:rPr>
          <w:rFonts w:ascii="宋体"/>
          <w:sz w:val="24"/>
          <w:szCs w:val="24"/>
        </w:rPr>
      </w:pPr>
      <w:r>
        <w:rPr>
          <w:rFonts w:hint="eastAsia" w:ascii="宋体"/>
          <w:sz w:val="24"/>
          <w:szCs w:val="24"/>
        </w:rPr>
        <w:t>法定代表人（授权代表）：           法定代表人（授权代表）：</w:t>
      </w:r>
    </w:p>
    <w:p>
      <w:pPr>
        <w:adjustRightInd w:val="0"/>
        <w:snapToGrid w:val="0"/>
        <w:spacing w:line="360" w:lineRule="auto"/>
        <w:ind w:firstLine="480" w:firstLineChars="200"/>
        <w:rPr>
          <w:rFonts w:ascii="宋体"/>
          <w:sz w:val="24"/>
          <w:szCs w:val="24"/>
        </w:rPr>
      </w:pPr>
      <w:r>
        <w:rPr>
          <w:rFonts w:hint="eastAsia" w:ascii="宋体"/>
          <w:sz w:val="24"/>
          <w:szCs w:val="24"/>
        </w:rPr>
        <w:t>地    址：                         地    址：</w:t>
      </w:r>
    </w:p>
    <w:p>
      <w:pPr>
        <w:adjustRightInd w:val="0"/>
        <w:snapToGrid w:val="0"/>
        <w:spacing w:line="360" w:lineRule="auto"/>
        <w:ind w:firstLine="480" w:firstLineChars="200"/>
        <w:rPr>
          <w:rFonts w:ascii="宋体"/>
          <w:sz w:val="24"/>
          <w:szCs w:val="24"/>
        </w:rPr>
      </w:pPr>
      <w:r>
        <w:rPr>
          <w:rFonts w:hint="eastAsia" w:ascii="宋体"/>
          <w:sz w:val="24"/>
          <w:szCs w:val="24"/>
        </w:rPr>
        <w:t>开户银行：                         开户银行：</w:t>
      </w:r>
    </w:p>
    <w:p>
      <w:pPr>
        <w:adjustRightInd w:val="0"/>
        <w:snapToGrid w:val="0"/>
        <w:spacing w:line="360" w:lineRule="auto"/>
        <w:ind w:firstLine="480" w:firstLineChars="200"/>
        <w:rPr>
          <w:rFonts w:ascii="宋体"/>
          <w:sz w:val="24"/>
          <w:szCs w:val="24"/>
        </w:rPr>
      </w:pPr>
      <w:r>
        <w:rPr>
          <w:rFonts w:hint="eastAsia" w:ascii="宋体"/>
          <w:sz w:val="24"/>
          <w:szCs w:val="24"/>
        </w:rPr>
        <w:t>账号：                             账号：</w:t>
      </w:r>
    </w:p>
    <w:p>
      <w:pPr>
        <w:adjustRightInd w:val="0"/>
        <w:snapToGrid w:val="0"/>
        <w:spacing w:line="360" w:lineRule="auto"/>
        <w:ind w:firstLine="480" w:firstLineChars="200"/>
        <w:rPr>
          <w:rFonts w:ascii="宋体"/>
          <w:sz w:val="24"/>
          <w:szCs w:val="24"/>
        </w:rPr>
      </w:pPr>
      <w:r>
        <w:rPr>
          <w:rFonts w:hint="eastAsia" w:ascii="宋体"/>
          <w:sz w:val="24"/>
          <w:szCs w:val="24"/>
        </w:rPr>
        <w:t>电    话：                         电    话：</w:t>
      </w:r>
    </w:p>
    <w:p>
      <w:pPr>
        <w:adjustRightInd w:val="0"/>
        <w:snapToGrid w:val="0"/>
        <w:spacing w:line="360" w:lineRule="auto"/>
        <w:ind w:firstLine="480" w:firstLineChars="200"/>
        <w:rPr>
          <w:rFonts w:ascii="宋体"/>
          <w:sz w:val="24"/>
          <w:szCs w:val="24"/>
        </w:rPr>
      </w:pPr>
      <w:r>
        <w:rPr>
          <w:rFonts w:hint="eastAsia" w:ascii="宋体"/>
          <w:sz w:val="24"/>
          <w:szCs w:val="24"/>
        </w:rPr>
        <w:t>传    真：                         传    真：</w:t>
      </w:r>
    </w:p>
    <w:p>
      <w:pPr>
        <w:pStyle w:val="9"/>
        <w:spacing w:after="0" w:line="480" w:lineRule="exact"/>
        <w:rPr>
          <w:rFonts w:ascii="宋体" w:hAnsi="宋体" w:eastAsia="宋体" w:cs="宋体"/>
          <w:color w:val="auto"/>
          <w:sz w:val="24"/>
          <w:szCs w:val="24"/>
          <w:highlight w:val="none"/>
        </w:rPr>
      </w:pPr>
      <w:r>
        <w:rPr>
          <w:rFonts w:hint="eastAsia" w:ascii="宋体"/>
          <w:sz w:val="24"/>
          <w:szCs w:val="24"/>
        </w:rPr>
        <w:t>签约日期：XX年XX月XX日           签约日期：XX年XX月XX日</w:t>
      </w:r>
    </w:p>
    <w:p>
      <w:pPr>
        <w:spacing w:line="480" w:lineRule="exact"/>
        <w:jc w:val="center"/>
        <w:rPr>
          <w:rFonts w:ascii="方正小标宋简体" w:hAnsi="宋体" w:eastAsia="方正小标宋简体" w:cs="宋体"/>
          <w:kern w:val="0"/>
          <w:sz w:val="44"/>
          <w:szCs w:val="44"/>
        </w:rPr>
      </w:pPr>
    </w:p>
    <w:p>
      <w:pPr>
        <w:pStyle w:val="29"/>
        <w:rPr>
          <w:rFonts w:ascii="方正小标宋简体" w:hAnsi="宋体" w:eastAsia="方正小标宋简体" w:cs="宋体"/>
          <w:kern w:val="0"/>
          <w:sz w:val="44"/>
          <w:szCs w:val="44"/>
        </w:rPr>
      </w:pPr>
    </w:p>
    <w:p>
      <w:pPr>
        <w:rPr>
          <w:rFonts w:ascii="方正小标宋简体" w:hAnsi="宋体" w:eastAsia="方正小标宋简体" w:cs="宋体"/>
          <w:kern w:val="0"/>
          <w:sz w:val="44"/>
          <w:szCs w:val="44"/>
        </w:rPr>
      </w:pPr>
    </w:p>
    <w:p>
      <w:pPr>
        <w:pStyle w:val="29"/>
        <w:rPr>
          <w:rFonts w:ascii="方正小标宋简体" w:hAnsi="宋体" w:eastAsia="方正小标宋简体" w:cs="宋体"/>
          <w:kern w:val="0"/>
          <w:sz w:val="44"/>
          <w:szCs w:val="44"/>
        </w:rPr>
      </w:pPr>
    </w:p>
    <w:p>
      <w:pPr>
        <w:rPr>
          <w:rFonts w:ascii="方正小标宋简体" w:hAnsi="宋体" w:eastAsia="方正小标宋简体" w:cs="宋体"/>
          <w:kern w:val="0"/>
          <w:sz w:val="44"/>
          <w:szCs w:val="44"/>
        </w:rPr>
      </w:pPr>
    </w:p>
    <w:p>
      <w:pPr>
        <w:pStyle w:val="29"/>
        <w:rPr>
          <w:rFonts w:ascii="方正小标宋简体" w:hAnsi="宋体" w:eastAsia="方正小标宋简体" w:cs="宋体"/>
          <w:kern w:val="0"/>
          <w:sz w:val="44"/>
          <w:szCs w:val="44"/>
        </w:rPr>
      </w:pPr>
    </w:p>
    <w:p>
      <w:pPr>
        <w:rPr>
          <w:rFonts w:ascii="方正小标宋简体" w:hAnsi="宋体" w:eastAsia="方正小标宋简体" w:cs="宋体"/>
          <w:kern w:val="0"/>
          <w:sz w:val="44"/>
          <w:szCs w:val="44"/>
        </w:rPr>
      </w:pPr>
    </w:p>
    <w:p>
      <w:pPr>
        <w:pStyle w:val="29"/>
        <w:rPr>
          <w:rFonts w:ascii="方正小标宋简体" w:hAnsi="宋体" w:eastAsia="方正小标宋简体" w:cs="宋体"/>
          <w:kern w:val="0"/>
          <w:sz w:val="44"/>
          <w:szCs w:val="44"/>
        </w:rPr>
      </w:pPr>
    </w:p>
    <w:p>
      <w:pPr>
        <w:pStyle w:val="29"/>
        <w:rPr>
          <w:rFonts w:ascii="方正小标宋简体" w:hAnsi="宋体" w:eastAsia="方正小标宋简体" w:cs="宋体"/>
          <w:kern w:val="0"/>
          <w:sz w:val="44"/>
          <w:szCs w:val="44"/>
        </w:rPr>
      </w:pPr>
    </w:p>
    <w:p>
      <w:pPr>
        <w:pStyle w:val="29"/>
      </w:pPr>
    </w:p>
    <w:p>
      <w:pPr>
        <w:spacing w:line="480" w:lineRule="exac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第五章</w:t>
      </w:r>
      <w:r>
        <w:rPr>
          <w:rFonts w:ascii="方正小标宋简体" w:hAnsi="宋体" w:eastAsia="方正小标宋简体" w:cs="宋体"/>
          <w:kern w:val="0"/>
          <w:sz w:val="44"/>
          <w:szCs w:val="44"/>
        </w:rPr>
        <w:t xml:space="preserve"> </w:t>
      </w:r>
      <w:r>
        <w:rPr>
          <w:rFonts w:hint="eastAsia" w:ascii="方正小标宋简体" w:hAnsi="宋体" w:eastAsia="方正小标宋简体" w:cs="宋体"/>
          <w:kern w:val="0"/>
          <w:sz w:val="44"/>
          <w:szCs w:val="44"/>
        </w:rPr>
        <w:t>竞争谈判申请文件格式</w:t>
      </w:r>
    </w:p>
    <w:p>
      <w:pPr>
        <w:pStyle w:val="9"/>
        <w:spacing w:after="0" w:line="480" w:lineRule="exact"/>
        <w:rPr>
          <w:rFonts w:ascii="宋体" w:hAnsi="宋体" w:eastAsia="宋体" w:cs="宋体"/>
          <w:sz w:val="28"/>
          <w:szCs w:val="28"/>
        </w:rPr>
      </w:pP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说明：</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（1）竞争谈判申请人应按照本章提供的竞争谈判申请文件格式要求编制竞争谈判申请文件；本章未提供格式的，由竞争谈判申请人自主编制。</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（2）相关内容较多时，可续页或另附页。</w:t>
      </w:r>
    </w:p>
    <w:p>
      <w:pPr>
        <w:widowControl/>
        <w:spacing w:line="480" w:lineRule="exact"/>
        <w:ind w:firstLine="560" w:firstLineChars="200"/>
        <w:jc w:val="left"/>
        <w:rPr>
          <w:rFonts w:ascii="宋体" w:hAnsi="宋体" w:eastAsia="宋体" w:cs="宋体"/>
          <w:sz w:val="28"/>
          <w:szCs w:val="28"/>
        </w:rPr>
        <w:sectPr>
          <w:footerReference r:id="rId7" w:type="default"/>
          <w:type w:val="continuous"/>
          <w:pgSz w:w="11907" w:h="16840"/>
          <w:pgMar w:top="1440" w:right="1474" w:bottom="1440" w:left="1474" w:header="851" w:footer="992" w:gutter="0"/>
          <w:pgNumType w:fmt="numberInDash"/>
          <w:cols w:space="720" w:num="1"/>
          <w:docGrid w:linePitch="312" w:charSpace="0"/>
        </w:sectPr>
      </w:pPr>
      <w:r>
        <w:rPr>
          <w:rFonts w:hint="eastAsia" w:ascii="宋体" w:hAnsi="宋体" w:eastAsia="宋体" w:cs="宋体"/>
          <w:sz w:val="28"/>
          <w:szCs w:val="28"/>
        </w:rPr>
        <w:t>（3）竞争谈判申请文件按竞争谈判文件第二章“4. 申请文件签字及装订要求”密封后在规定的时间和地址递交。</w:t>
      </w:r>
    </w:p>
    <w:p>
      <w:pPr>
        <w:jc w:val="center"/>
        <w:rPr>
          <w:rFonts w:ascii="方正小标宋简体" w:hAnsi="宋体" w:eastAsia="方正小标宋简体"/>
          <w:sz w:val="44"/>
          <w:szCs w:val="44"/>
          <w:u w:val="single"/>
        </w:rPr>
      </w:pPr>
    </w:p>
    <w:p>
      <w:pPr>
        <w:jc w:val="center"/>
        <w:rPr>
          <w:rFonts w:ascii="方正小标宋简体" w:hAnsi="宋体" w:eastAsia="方正小标宋简体"/>
          <w:sz w:val="56"/>
          <w:szCs w:val="56"/>
        </w:rPr>
      </w:pPr>
      <w:r>
        <w:rPr>
          <w:rFonts w:hint="eastAsia" w:ascii="方正小标宋简体" w:hAnsi="宋体" w:eastAsia="方正小标宋简体"/>
          <w:sz w:val="44"/>
          <w:szCs w:val="44"/>
          <w:u w:val="single"/>
        </w:rPr>
        <w:t xml:space="preserve">                     </w:t>
      </w:r>
      <w:r>
        <w:rPr>
          <w:rFonts w:hint="eastAsia" w:ascii="方正小标宋简体" w:hAnsi="宋体" w:eastAsia="方正小标宋简体"/>
          <w:sz w:val="44"/>
          <w:szCs w:val="44"/>
        </w:rPr>
        <w:t>项目</w:t>
      </w:r>
      <w:r>
        <w:rPr>
          <w:rFonts w:hint="eastAsia" w:ascii="方正小标宋简体" w:hAnsi="宋体" w:eastAsia="方正小标宋简体"/>
          <w:sz w:val="56"/>
          <w:szCs w:val="56"/>
        </w:rPr>
        <w:t xml:space="preserve"> </w:t>
      </w:r>
    </w:p>
    <w:p>
      <w:pPr>
        <w:jc w:val="center"/>
        <w:rPr>
          <w:rFonts w:ascii="方正小标宋简体" w:hAnsi="宋体" w:eastAsia="方正小标宋简体"/>
          <w:sz w:val="56"/>
          <w:szCs w:val="56"/>
        </w:rPr>
      </w:pPr>
    </w:p>
    <w:p>
      <w:pPr>
        <w:jc w:val="center"/>
        <w:rPr>
          <w:rFonts w:ascii="方正小标宋简体" w:hAnsi="宋体" w:eastAsia="方正小标宋简体"/>
          <w:sz w:val="56"/>
          <w:szCs w:val="56"/>
        </w:rPr>
      </w:pPr>
    </w:p>
    <w:p>
      <w:pPr>
        <w:pStyle w:val="9"/>
      </w:pPr>
    </w:p>
    <w:p>
      <w:pPr>
        <w:jc w:val="center"/>
        <w:rPr>
          <w:rFonts w:ascii="方正小标宋简体" w:hAnsi="宋体" w:eastAsia="方正小标宋简体"/>
          <w:sz w:val="56"/>
          <w:szCs w:val="56"/>
        </w:rPr>
      </w:pPr>
      <w:r>
        <w:rPr>
          <w:rFonts w:hint="eastAsia" w:ascii="方正小标宋简体" w:hAnsi="宋体" w:eastAsia="方正小标宋简体"/>
          <w:sz w:val="56"/>
          <w:szCs w:val="56"/>
        </w:rPr>
        <w:t xml:space="preserve"> </w:t>
      </w:r>
    </w:p>
    <w:p>
      <w:pPr>
        <w:jc w:val="center"/>
        <w:rPr>
          <w:rFonts w:ascii="黑体" w:hAnsi="黑体" w:eastAsia="黑体" w:cs="黑体"/>
          <w:sz w:val="96"/>
          <w:szCs w:val="96"/>
        </w:rPr>
      </w:pPr>
      <w:r>
        <w:rPr>
          <w:rFonts w:hint="eastAsia" w:ascii="黑体" w:hAnsi="黑体" w:eastAsia="黑体" w:cs="黑体"/>
          <w:sz w:val="96"/>
          <w:szCs w:val="96"/>
        </w:rPr>
        <w:t>竞争谈判申请文件</w:t>
      </w: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p>
    <w:p>
      <w:pPr>
        <w:jc w:val="center"/>
        <w:rPr>
          <w:rFonts w:ascii="宋体" w:hAnsi="宋体"/>
          <w:b/>
          <w:bCs/>
          <w:sz w:val="48"/>
          <w:szCs w:val="48"/>
        </w:rPr>
      </w:pPr>
    </w:p>
    <w:p>
      <w:pPr>
        <w:rPr>
          <w:rFonts w:ascii="黑体" w:hAnsi="黑体" w:eastAsia="黑体" w:cs="黑体"/>
          <w:bCs/>
          <w:sz w:val="32"/>
          <w:szCs w:val="32"/>
        </w:rPr>
      </w:pPr>
      <w:r>
        <w:rPr>
          <w:rFonts w:hint="eastAsia" w:ascii="黑体" w:hAnsi="黑体" w:eastAsia="黑体" w:cs="黑体"/>
          <w:bCs/>
          <w:sz w:val="32"/>
          <w:szCs w:val="32"/>
        </w:rPr>
        <w:t>竞争谈判申请人：</w:t>
      </w:r>
      <w:r>
        <w:rPr>
          <w:rFonts w:hint="eastAsia" w:ascii="黑体" w:hAnsi="黑体" w:eastAsia="黑体" w:cs="黑体"/>
          <w:bCs/>
          <w:sz w:val="32"/>
          <w:szCs w:val="32"/>
          <w:u w:val="single"/>
        </w:rPr>
        <w:t xml:space="preserve">                      </w:t>
      </w:r>
      <w:r>
        <w:rPr>
          <w:rFonts w:hint="eastAsia" w:ascii="黑体" w:hAnsi="黑体" w:eastAsia="黑体" w:cs="黑体"/>
          <w:bCs/>
          <w:sz w:val="32"/>
          <w:szCs w:val="32"/>
        </w:rPr>
        <w:t>（盖单位章）</w:t>
      </w:r>
    </w:p>
    <w:p>
      <w:pPr>
        <w:rPr>
          <w:rFonts w:ascii="黑体" w:hAnsi="黑体" w:eastAsia="黑体" w:cs="黑体"/>
          <w:b/>
          <w:bCs/>
          <w:kern w:val="0"/>
          <w:sz w:val="32"/>
          <w:szCs w:val="32"/>
          <w:u w:val="single"/>
        </w:rPr>
      </w:pPr>
      <w:r>
        <w:rPr>
          <w:rFonts w:hint="eastAsia" w:ascii="黑体" w:hAnsi="黑体" w:eastAsia="黑体" w:cs="黑体"/>
          <w:bCs/>
          <w:sz w:val="32"/>
          <w:szCs w:val="32"/>
        </w:rPr>
        <w:t>法定代表人或委托代理人：</w:t>
      </w:r>
      <w:r>
        <w:rPr>
          <w:rFonts w:hint="eastAsia" w:ascii="黑体" w:hAnsi="黑体" w:eastAsia="黑体" w:cs="黑体"/>
          <w:bCs/>
          <w:sz w:val="32"/>
          <w:szCs w:val="32"/>
          <w:u w:val="single"/>
        </w:rPr>
        <w:t xml:space="preserve">            </w:t>
      </w:r>
      <w:r>
        <w:rPr>
          <w:rFonts w:hint="eastAsia" w:ascii="黑体" w:hAnsi="黑体" w:eastAsia="黑体" w:cs="黑体"/>
          <w:bCs/>
          <w:sz w:val="32"/>
          <w:szCs w:val="32"/>
        </w:rPr>
        <w:t>（签字）</w:t>
      </w:r>
    </w:p>
    <w:p>
      <w:pPr>
        <w:ind w:firstLine="960" w:firstLineChars="300"/>
        <w:jc w:val="center"/>
        <w:rPr>
          <w:rFonts w:ascii="黑体" w:hAnsi="黑体" w:eastAsia="黑体" w:cs="黑体"/>
          <w:bCs/>
          <w:sz w:val="32"/>
          <w:szCs w:val="32"/>
        </w:rPr>
      </w:pPr>
    </w:p>
    <w:p>
      <w:pPr>
        <w:jc w:val="center"/>
        <w:rPr>
          <w:rFonts w:ascii="黑体" w:hAnsi="黑体" w:eastAsia="黑体" w:cs="黑体"/>
          <w:bCs/>
          <w:sz w:val="32"/>
          <w:szCs w:val="32"/>
        </w:rPr>
      </w:pPr>
      <w:r>
        <w:rPr>
          <w:rFonts w:hint="eastAsia" w:ascii="黑体" w:hAnsi="黑体" w:eastAsia="黑体" w:cs="黑体"/>
          <w:bCs/>
          <w:sz w:val="32"/>
          <w:szCs w:val="32"/>
        </w:rPr>
        <w:t>年   月   日</w:t>
      </w:r>
    </w:p>
    <w:p>
      <w:pPr>
        <w:jc w:val="center"/>
        <w:rPr>
          <w:rFonts w:ascii="黑体" w:hAnsi="黑体" w:eastAsia="黑体" w:cs="黑体"/>
          <w:bCs/>
          <w:sz w:val="32"/>
          <w:szCs w:val="32"/>
        </w:rPr>
      </w:pPr>
      <w:r>
        <w:rPr>
          <w:rFonts w:hint="eastAsia" w:ascii="黑体" w:hAnsi="黑体" w:eastAsia="黑体" w:cs="黑体"/>
          <w:bCs/>
          <w:sz w:val="32"/>
          <w:szCs w:val="32"/>
        </w:rPr>
        <w:br w:type="page"/>
      </w:r>
    </w:p>
    <w:p>
      <w:pPr>
        <w:spacing w:line="480" w:lineRule="exact"/>
        <w:jc w:val="center"/>
        <w:rPr>
          <w:rFonts w:ascii="方正小标宋简体" w:hAnsi="宋体" w:eastAsia="方正小标宋简体" w:cs="宋体"/>
          <w:kern w:val="0"/>
          <w:sz w:val="44"/>
          <w:szCs w:val="44"/>
        </w:rPr>
      </w:pPr>
    </w:p>
    <w:p>
      <w:pPr>
        <w:spacing w:line="480" w:lineRule="exac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目 录</w:t>
      </w:r>
    </w:p>
    <w:p>
      <w:pPr>
        <w:spacing w:line="480" w:lineRule="exact"/>
        <w:rPr>
          <w:rFonts w:ascii="宋体" w:hAnsi="宋体" w:eastAsia="宋体" w:cs="宋体"/>
          <w:b/>
          <w:bCs/>
          <w:kern w:val="0"/>
          <w:sz w:val="24"/>
        </w:rPr>
      </w:pPr>
    </w:p>
    <w:p>
      <w:pPr>
        <w:widowControl/>
        <w:spacing w:line="480" w:lineRule="exact"/>
        <w:ind w:firstLine="482"/>
        <w:jc w:val="left"/>
        <w:rPr>
          <w:rFonts w:ascii="黑体" w:hAnsi="黑体" w:eastAsia="黑体" w:cs="宋体"/>
          <w:kern w:val="0"/>
          <w:sz w:val="32"/>
          <w:szCs w:val="32"/>
        </w:rPr>
      </w:pPr>
      <w:r>
        <w:rPr>
          <w:rFonts w:hint="eastAsia" w:ascii="黑体" w:hAnsi="黑体" w:eastAsia="黑体" w:cs="宋体"/>
          <w:kern w:val="0"/>
          <w:sz w:val="32"/>
          <w:szCs w:val="32"/>
        </w:rPr>
        <w:t>一、法定代表人身份证明书</w:t>
      </w:r>
    </w:p>
    <w:p>
      <w:pPr>
        <w:widowControl/>
        <w:spacing w:line="480" w:lineRule="exact"/>
        <w:ind w:left="482"/>
        <w:jc w:val="left"/>
        <w:rPr>
          <w:rFonts w:ascii="黑体" w:hAnsi="黑体" w:eastAsia="黑体" w:cs="宋体"/>
          <w:kern w:val="0"/>
          <w:sz w:val="32"/>
          <w:szCs w:val="32"/>
        </w:rPr>
      </w:pPr>
      <w:r>
        <w:rPr>
          <w:rFonts w:hint="eastAsia" w:ascii="黑体" w:hAnsi="黑体" w:eastAsia="黑体" w:cs="宋体"/>
          <w:kern w:val="0"/>
          <w:sz w:val="32"/>
          <w:szCs w:val="32"/>
        </w:rPr>
        <w:t>二、法定代表人授权委托书</w:t>
      </w:r>
    </w:p>
    <w:p>
      <w:pPr>
        <w:widowControl/>
        <w:spacing w:line="480" w:lineRule="exact"/>
        <w:ind w:firstLine="482"/>
        <w:jc w:val="left"/>
        <w:rPr>
          <w:rFonts w:ascii="黑体" w:hAnsi="黑体" w:eastAsia="黑体" w:cs="宋体"/>
          <w:kern w:val="0"/>
          <w:sz w:val="32"/>
          <w:szCs w:val="32"/>
        </w:rPr>
      </w:pPr>
      <w:r>
        <w:rPr>
          <w:rFonts w:hint="eastAsia" w:ascii="黑体" w:hAnsi="黑体" w:eastAsia="黑体" w:cs="宋体"/>
          <w:kern w:val="0"/>
          <w:sz w:val="32"/>
          <w:szCs w:val="32"/>
        </w:rPr>
        <w:t>三</w:t>
      </w:r>
      <w:r>
        <w:rPr>
          <w:rFonts w:ascii="黑体" w:hAnsi="黑体" w:eastAsia="黑体" w:cs="宋体"/>
          <w:kern w:val="0"/>
          <w:sz w:val="32"/>
          <w:szCs w:val="32"/>
        </w:rPr>
        <w:t>、</w:t>
      </w:r>
      <w:r>
        <w:rPr>
          <w:rFonts w:hint="eastAsia" w:ascii="黑体" w:hAnsi="黑体" w:eastAsia="黑体" w:cs="宋体"/>
          <w:kern w:val="0"/>
          <w:sz w:val="32"/>
          <w:szCs w:val="32"/>
        </w:rPr>
        <w:t>报价函</w:t>
      </w:r>
    </w:p>
    <w:p>
      <w:pPr>
        <w:widowControl/>
        <w:spacing w:line="480" w:lineRule="exact"/>
        <w:ind w:firstLine="482"/>
        <w:jc w:val="left"/>
        <w:rPr>
          <w:rFonts w:ascii="黑体" w:hAnsi="黑体" w:eastAsia="黑体" w:cs="宋体"/>
          <w:kern w:val="0"/>
          <w:sz w:val="32"/>
          <w:szCs w:val="32"/>
        </w:rPr>
      </w:pPr>
      <w:r>
        <w:rPr>
          <w:rFonts w:hint="eastAsia" w:ascii="黑体" w:hAnsi="黑体" w:eastAsia="黑体" w:cs="宋体"/>
          <w:kern w:val="0"/>
          <w:sz w:val="32"/>
          <w:szCs w:val="32"/>
        </w:rPr>
        <w:t>四、报价明细表</w:t>
      </w:r>
    </w:p>
    <w:p>
      <w:pPr>
        <w:widowControl/>
        <w:spacing w:line="480" w:lineRule="exact"/>
        <w:ind w:firstLine="482"/>
        <w:jc w:val="left"/>
        <w:rPr>
          <w:rFonts w:ascii="黑体" w:hAnsi="黑体" w:eastAsia="黑体" w:cs="宋体"/>
          <w:kern w:val="0"/>
          <w:sz w:val="32"/>
          <w:szCs w:val="32"/>
        </w:rPr>
      </w:pPr>
      <w:r>
        <w:rPr>
          <w:rFonts w:hint="eastAsia" w:ascii="黑体" w:hAnsi="黑体" w:eastAsia="黑体" w:cs="宋体"/>
          <w:kern w:val="0"/>
          <w:sz w:val="32"/>
          <w:szCs w:val="32"/>
        </w:rPr>
        <w:t>五、营业执照或法人证书</w:t>
      </w:r>
    </w:p>
    <w:p>
      <w:pPr>
        <w:spacing w:line="480" w:lineRule="exact"/>
        <w:ind w:firstLine="480" w:firstLineChars="150"/>
        <w:rPr>
          <w:rFonts w:ascii="黑体" w:hAnsi="黑体" w:eastAsia="黑体" w:cs="宋体"/>
          <w:kern w:val="0"/>
          <w:sz w:val="32"/>
          <w:szCs w:val="32"/>
        </w:rPr>
      </w:pPr>
      <w:r>
        <w:rPr>
          <w:rFonts w:hint="eastAsia" w:ascii="黑体" w:hAnsi="黑体" w:eastAsia="黑体" w:cs="宋体"/>
          <w:kern w:val="0"/>
          <w:sz w:val="32"/>
          <w:szCs w:val="32"/>
          <w:lang w:val="en-US" w:eastAsia="zh-CN"/>
        </w:rPr>
        <w:t>六</w:t>
      </w:r>
      <w:r>
        <w:rPr>
          <w:rFonts w:hint="eastAsia" w:ascii="黑体" w:hAnsi="黑体" w:eastAsia="黑体" w:cs="宋体"/>
          <w:kern w:val="0"/>
          <w:sz w:val="32"/>
          <w:szCs w:val="32"/>
        </w:rPr>
        <w:t>、类似项目业绩</w:t>
      </w:r>
    </w:p>
    <w:p>
      <w:pPr>
        <w:spacing w:line="480" w:lineRule="exact"/>
        <w:ind w:firstLine="480" w:firstLineChars="150"/>
        <w:rPr>
          <w:rFonts w:hint="eastAsia" w:ascii="黑体" w:hAnsi="黑体" w:eastAsia="黑体" w:cs="宋体"/>
          <w:kern w:val="0"/>
          <w:sz w:val="32"/>
          <w:szCs w:val="32"/>
        </w:rPr>
      </w:pPr>
      <w:r>
        <w:rPr>
          <w:rFonts w:hint="eastAsia" w:ascii="黑体" w:hAnsi="黑体" w:eastAsia="黑体" w:cs="宋体"/>
          <w:kern w:val="0"/>
          <w:sz w:val="32"/>
          <w:szCs w:val="32"/>
          <w:lang w:val="en-US" w:eastAsia="zh-CN"/>
        </w:rPr>
        <w:t>七</w:t>
      </w:r>
      <w:r>
        <w:rPr>
          <w:rFonts w:ascii="黑体" w:hAnsi="黑体" w:eastAsia="黑体" w:cs="宋体"/>
          <w:kern w:val="0"/>
          <w:sz w:val="32"/>
          <w:szCs w:val="32"/>
        </w:rPr>
        <w:t>、</w:t>
      </w:r>
      <w:r>
        <w:rPr>
          <w:rFonts w:hint="eastAsia" w:ascii="黑体" w:hAnsi="黑体" w:eastAsia="黑体" w:cs="宋体"/>
          <w:kern w:val="0"/>
          <w:sz w:val="32"/>
          <w:szCs w:val="32"/>
        </w:rPr>
        <w:t>关于信誉情况的承诺函</w:t>
      </w:r>
    </w:p>
    <w:p>
      <w:pPr>
        <w:spacing w:line="480" w:lineRule="exact"/>
        <w:ind w:firstLine="480" w:firstLineChars="150"/>
        <w:rPr>
          <w:rFonts w:hint="default" w:eastAsia="黑体"/>
          <w:lang w:val="en-US" w:eastAsia="zh-CN"/>
        </w:rPr>
      </w:pPr>
      <w:r>
        <w:rPr>
          <w:rFonts w:hint="eastAsia" w:ascii="黑体" w:hAnsi="黑体" w:eastAsia="黑体" w:cs="宋体"/>
          <w:kern w:val="0"/>
          <w:sz w:val="32"/>
          <w:szCs w:val="32"/>
          <w:lang w:val="en-US" w:eastAsia="zh-CN"/>
        </w:rPr>
        <w:t>八、服务方案</w:t>
      </w:r>
    </w:p>
    <w:p>
      <w:pPr>
        <w:spacing w:line="480" w:lineRule="exact"/>
        <w:ind w:firstLine="480" w:firstLineChars="150"/>
        <w:rPr>
          <w:rFonts w:hint="eastAsia" w:ascii="黑体" w:hAnsi="黑体" w:eastAsia="黑体" w:cs="宋体"/>
          <w:kern w:val="0"/>
          <w:sz w:val="32"/>
          <w:szCs w:val="32"/>
        </w:rPr>
      </w:pPr>
      <w:r>
        <w:rPr>
          <w:rFonts w:hint="eastAsia" w:ascii="黑体" w:hAnsi="黑体" w:eastAsia="黑体" w:cs="宋体"/>
          <w:kern w:val="0"/>
          <w:sz w:val="32"/>
          <w:szCs w:val="32"/>
          <w:lang w:val="en-US" w:eastAsia="zh-CN"/>
        </w:rPr>
        <w:t>九</w:t>
      </w:r>
      <w:r>
        <w:rPr>
          <w:rFonts w:hint="eastAsia" w:ascii="黑体" w:hAnsi="黑体" w:eastAsia="黑体" w:cs="宋体"/>
          <w:kern w:val="0"/>
          <w:sz w:val="32"/>
          <w:szCs w:val="32"/>
        </w:rPr>
        <w:t>、竞争谈判申请人认为有必要提供的其他材料</w:t>
      </w:r>
    </w:p>
    <w:p>
      <w:pPr>
        <w:widowControl/>
        <w:spacing w:line="480" w:lineRule="exact"/>
        <w:ind w:firstLine="480"/>
        <w:jc w:val="left"/>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spacing w:line="480" w:lineRule="exact"/>
        <w:ind w:firstLine="481"/>
        <w:rPr>
          <w:rFonts w:ascii="宋体" w:hAnsi="宋体" w:eastAsia="宋体" w:cs="宋体"/>
          <w:kern w:val="0"/>
          <w:sz w:val="24"/>
        </w:rPr>
      </w:pP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br w:type="page"/>
      </w: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t>一、法定代表人身份证明书</w:t>
      </w:r>
    </w:p>
    <w:p>
      <w:pPr>
        <w:spacing w:line="480" w:lineRule="exact"/>
        <w:rPr>
          <w:rFonts w:ascii="仿宋_GB2312" w:hAnsi="仿宋_GB2312" w:eastAsia="仿宋_GB2312" w:cs="仿宋_GB2312"/>
          <w:bCs/>
          <w:sz w:val="32"/>
          <w:szCs w:val="32"/>
        </w:rPr>
      </w:pPr>
    </w:p>
    <w:p>
      <w:pPr>
        <w:spacing w:line="48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法定代表人身份证明书</w:t>
      </w:r>
    </w:p>
    <w:p>
      <w:pPr>
        <w:wordWrap w:val="0"/>
        <w:spacing w:line="480" w:lineRule="exact"/>
        <w:rPr>
          <w:rFonts w:ascii="仿宋_GB2312" w:hAnsi="仿宋_GB2312" w:eastAsia="仿宋_GB2312" w:cs="仿宋_GB2312"/>
          <w:sz w:val="32"/>
          <w:szCs w:val="32"/>
        </w:rPr>
      </w:pP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 xml:space="preserve">单位名称:                                      </w:t>
      </w:r>
    </w:p>
    <w:p>
      <w:pPr>
        <w:wordWrap w:val="0"/>
        <w:spacing w:line="480" w:lineRule="exact"/>
        <w:ind w:firstLine="560" w:firstLineChars="200"/>
        <w:rPr>
          <w:rFonts w:ascii="宋体" w:hAnsi="宋体" w:eastAsia="宋体" w:cs="宋体"/>
          <w:sz w:val="28"/>
          <w:szCs w:val="28"/>
          <w:u w:val="single"/>
        </w:rPr>
      </w:pPr>
      <w:r>
        <w:rPr>
          <w:rFonts w:hint="eastAsia" w:ascii="宋体" w:hAnsi="宋体" w:eastAsia="宋体" w:cs="宋体"/>
          <w:sz w:val="28"/>
          <w:szCs w:val="28"/>
        </w:rPr>
        <w:t>单位性质:</w:t>
      </w:r>
      <w:r>
        <w:rPr>
          <w:rFonts w:hint="eastAsia" w:ascii="宋体" w:hAnsi="宋体" w:eastAsia="宋体" w:cs="宋体"/>
          <w:sz w:val="28"/>
          <w:szCs w:val="28"/>
          <w:u w:val="single"/>
        </w:rPr>
        <w:t xml:space="preserve">                                      </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单位地址:</w:t>
      </w:r>
      <w:r>
        <w:rPr>
          <w:rFonts w:hint="eastAsia" w:ascii="宋体" w:hAnsi="宋体" w:eastAsia="宋体" w:cs="宋体"/>
          <w:sz w:val="28"/>
          <w:szCs w:val="28"/>
          <w:u w:val="single"/>
        </w:rPr>
        <w:t xml:space="preserve">                                      </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成立时间:</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wordWrap w:val="0"/>
        <w:spacing w:line="480" w:lineRule="exact"/>
        <w:ind w:firstLine="560" w:firstLineChars="200"/>
        <w:rPr>
          <w:rFonts w:ascii="宋体" w:hAnsi="宋体" w:eastAsia="宋体" w:cs="宋体"/>
          <w:sz w:val="28"/>
          <w:szCs w:val="28"/>
          <w:u w:val="single"/>
        </w:rPr>
      </w:pPr>
      <w:r>
        <w:rPr>
          <w:rFonts w:hint="eastAsia" w:ascii="宋体" w:hAnsi="宋体" w:eastAsia="宋体" w:cs="宋体"/>
          <w:sz w:val="28"/>
          <w:szCs w:val="28"/>
        </w:rPr>
        <w:t>经营期限:</w:t>
      </w:r>
      <w:r>
        <w:rPr>
          <w:rFonts w:hint="eastAsia" w:ascii="宋体" w:hAnsi="宋体" w:eastAsia="宋体" w:cs="宋体"/>
          <w:sz w:val="28"/>
          <w:szCs w:val="28"/>
          <w:u w:val="single"/>
        </w:rPr>
        <w:t xml:space="preserve">                               </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兹证明:</w:t>
      </w:r>
      <w:r>
        <w:rPr>
          <w:rFonts w:hint="eastAsia" w:ascii="宋体" w:hAnsi="宋体" w:eastAsia="宋体" w:cs="宋体"/>
          <w:sz w:val="28"/>
          <w:szCs w:val="28"/>
          <w:u w:val="single"/>
        </w:rPr>
        <w:t xml:space="preserve">         （姓名）</w:t>
      </w:r>
      <w:r>
        <w:rPr>
          <w:rFonts w:hint="eastAsia" w:ascii="宋体" w:hAnsi="宋体" w:eastAsia="宋体" w:cs="宋体"/>
          <w:sz w:val="28"/>
          <w:szCs w:val="28"/>
        </w:rPr>
        <w:t>（身份证号：</w:t>
      </w:r>
      <w:r>
        <w:rPr>
          <w:rFonts w:hint="eastAsia" w:ascii="宋体" w:hAnsi="宋体" w:eastAsia="宋体" w:cs="宋体"/>
          <w:sz w:val="28"/>
          <w:szCs w:val="28"/>
          <w:u w:val="single"/>
        </w:rPr>
        <w:t xml:space="preserve">               </w:t>
      </w:r>
      <w:r>
        <w:rPr>
          <w:rFonts w:hint="eastAsia" w:ascii="宋体" w:hAnsi="宋体" w:eastAsia="宋体" w:cs="宋体"/>
          <w:sz w:val="28"/>
          <w:szCs w:val="28"/>
        </w:rPr>
        <w:t>）系</w:t>
      </w:r>
      <w:r>
        <w:rPr>
          <w:rFonts w:hint="eastAsia" w:ascii="宋体" w:hAnsi="宋体" w:eastAsia="宋体" w:cs="宋体"/>
          <w:sz w:val="28"/>
          <w:szCs w:val="28"/>
          <w:u w:val="single"/>
        </w:rPr>
        <w:t xml:space="preserve">                        （竞争谈判申请人单位名称）</w:t>
      </w:r>
      <w:r>
        <w:rPr>
          <w:rFonts w:hint="eastAsia" w:ascii="宋体" w:hAnsi="宋体" w:eastAsia="宋体" w:cs="宋体"/>
          <w:sz w:val="28"/>
          <w:szCs w:val="28"/>
        </w:rPr>
        <w:t>的法定代表人。</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特此证明。</w:t>
      </w: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p>
    <w:p>
      <w:pPr>
        <w:spacing w:line="480" w:lineRule="exact"/>
        <w:ind w:firstLine="1400" w:firstLineChars="500"/>
        <w:rPr>
          <w:rFonts w:ascii="宋体" w:hAnsi="宋体" w:eastAsia="宋体" w:cs="宋体"/>
          <w:sz w:val="28"/>
          <w:szCs w:val="28"/>
          <w:u w:val="single"/>
        </w:rPr>
      </w:pPr>
      <w:r>
        <w:rPr>
          <w:rFonts w:hint="eastAsia" w:ascii="宋体" w:hAnsi="宋体" w:eastAsia="宋体" w:cs="宋体"/>
          <w:sz w:val="28"/>
          <w:szCs w:val="28"/>
        </w:rPr>
        <w:t>竞争谈判申请人：</w:t>
      </w:r>
      <w:r>
        <w:rPr>
          <w:rFonts w:hint="eastAsia" w:ascii="宋体" w:hAnsi="宋体" w:eastAsia="宋体" w:cs="宋体"/>
          <w:sz w:val="28"/>
          <w:szCs w:val="28"/>
          <w:u w:val="single"/>
        </w:rPr>
        <w:t xml:space="preserve">                     </w:t>
      </w:r>
      <w:r>
        <w:rPr>
          <w:rFonts w:hint="eastAsia" w:ascii="宋体" w:hAnsi="宋体" w:eastAsia="宋体" w:cs="宋体"/>
          <w:sz w:val="28"/>
          <w:szCs w:val="28"/>
        </w:rPr>
        <w:t>（盖单位章）</w:t>
      </w:r>
    </w:p>
    <w:p>
      <w:pPr>
        <w:spacing w:line="480" w:lineRule="exact"/>
        <w:ind w:firstLine="5040" w:firstLineChars="1800"/>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tabs>
          <w:tab w:val="left" w:pos="720"/>
          <w:tab w:val="left" w:pos="900"/>
        </w:tabs>
        <w:wordWrap w:val="0"/>
        <w:spacing w:line="480" w:lineRule="exact"/>
        <w:rPr>
          <w:rFonts w:ascii="宋体" w:hAnsi="宋体" w:eastAsia="宋体" w:cs="宋体"/>
          <w:sz w:val="28"/>
          <w:szCs w:val="28"/>
        </w:rPr>
      </w:pPr>
    </w:p>
    <w:p>
      <w:pPr>
        <w:tabs>
          <w:tab w:val="left" w:pos="720"/>
          <w:tab w:val="left" w:pos="900"/>
        </w:tabs>
        <w:wordWrap w:val="0"/>
        <w:spacing w:line="480" w:lineRule="exact"/>
        <w:rPr>
          <w:rFonts w:ascii="宋体" w:hAnsi="宋体" w:eastAsia="宋体" w:cs="宋体"/>
          <w:kern w:val="0"/>
          <w:sz w:val="28"/>
          <w:szCs w:val="28"/>
        </w:rPr>
      </w:pPr>
      <w:r>
        <w:rPr>
          <w:rFonts w:hint="eastAsia" w:ascii="宋体" w:hAnsi="宋体" w:eastAsia="宋体" w:cs="宋体"/>
          <w:b/>
          <w:sz w:val="28"/>
          <w:szCs w:val="28"/>
        </w:rPr>
        <w:t>附：法定代表人身份证复印件或扫描件</w:t>
      </w:r>
      <w:r>
        <w:rPr>
          <w:rFonts w:hint="eastAsia" w:ascii="宋体" w:hAnsi="宋体" w:eastAsia="宋体" w:cs="宋体"/>
          <w:sz w:val="28"/>
          <w:szCs w:val="28"/>
        </w:rPr>
        <w:t>（盖单位章）</w:t>
      </w: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br w:type="page"/>
      </w: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t>二、法定代表人授权书</w:t>
      </w:r>
    </w:p>
    <w:p>
      <w:pPr>
        <w:spacing w:line="480" w:lineRule="exact"/>
        <w:jc w:val="center"/>
        <w:rPr>
          <w:rFonts w:ascii="方正小标宋简体" w:hAnsi="方正小标宋简体" w:eastAsia="方正小标宋简体" w:cs="方正小标宋简体"/>
          <w:bCs/>
          <w:sz w:val="44"/>
          <w:szCs w:val="44"/>
        </w:rPr>
      </w:pPr>
    </w:p>
    <w:p>
      <w:pPr>
        <w:spacing w:line="48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法定代表人授权委托书</w:t>
      </w:r>
    </w:p>
    <w:p>
      <w:pPr>
        <w:spacing w:line="480" w:lineRule="exact"/>
        <w:rPr>
          <w:rFonts w:ascii="宋体" w:hAnsi="宋体" w:eastAsia="宋体" w:cs="宋体"/>
          <w:sz w:val="28"/>
          <w:szCs w:val="28"/>
        </w:rPr>
      </w:pP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本人</w:t>
      </w:r>
      <w:r>
        <w:rPr>
          <w:rFonts w:hint="eastAsia" w:ascii="宋体" w:hAnsi="宋体" w:eastAsia="宋体" w:cs="宋体"/>
          <w:sz w:val="28"/>
          <w:szCs w:val="28"/>
          <w:u w:val="single"/>
        </w:rPr>
        <w:t xml:space="preserve">         （姓名）</w:t>
      </w:r>
      <w:r>
        <w:rPr>
          <w:rFonts w:hint="eastAsia" w:ascii="宋体" w:hAnsi="宋体" w:eastAsia="宋体" w:cs="宋体"/>
          <w:sz w:val="28"/>
          <w:szCs w:val="28"/>
        </w:rPr>
        <w:t>系</w:t>
      </w:r>
      <w:r>
        <w:rPr>
          <w:rFonts w:hint="eastAsia" w:ascii="宋体" w:hAnsi="宋体" w:eastAsia="宋体" w:cs="宋体"/>
          <w:sz w:val="28"/>
          <w:szCs w:val="28"/>
          <w:u w:val="single"/>
        </w:rPr>
        <w:t xml:space="preserve">                       （竞争谈判申请人单位名称）</w:t>
      </w:r>
      <w:r>
        <w:rPr>
          <w:rFonts w:hint="eastAsia" w:ascii="宋体" w:hAnsi="宋体" w:eastAsia="宋体" w:cs="宋体"/>
          <w:sz w:val="28"/>
          <w:szCs w:val="28"/>
        </w:rPr>
        <w:t>的法定代表人，现委托</w:t>
      </w:r>
      <w:r>
        <w:rPr>
          <w:rFonts w:hint="eastAsia" w:ascii="宋体" w:hAnsi="宋体" w:eastAsia="宋体" w:cs="宋体"/>
          <w:sz w:val="28"/>
          <w:szCs w:val="28"/>
          <w:u w:val="single"/>
        </w:rPr>
        <w:t xml:space="preserve">         （姓名）</w:t>
      </w:r>
      <w:r>
        <w:rPr>
          <w:rFonts w:hint="eastAsia" w:ascii="宋体" w:hAnsi="宋体" w:eastAsia="宋体" w:cs="宋体"/>
          <w:sz w:val="28"/>
          <w:szCs w:val="28"/>
        </w:rPr>
        <w:t>为我方代理人，代理人根据授权，以我方名义签署、澄清、说明、补正、递交、撤回、修改</w:t>
      </w:r>
      <w:r>
        <w:rPr>
          <w:rFonts w:hint="eastAsia" w:ascii="宋体" w:hAnsi="宋体" w:eastAsia="宋体" w:cs="宋体"/>
          <w:sz w:val="28"/>
          <w:szCs w:val="28"/>
          <w:u w:val="single"/>
        </w:rPr>
        <w:t xml:space="preserve">         （项目名称）</w:t>
      </w:r>
      <w:r>
        <w:rPr>
          <w:rFonts w:hint="eastAsia" w:ascii="宋体" w:hAnsi="宋体" w:eastAsia="宋体" w:cs="宋体"/>
          <w:sz w:val="28"/>
          <w:szCs w:val="28"/>
        </w:rPr>
        <w:t>竞争谈判申请文件，洽谈、签订合同和处理有关事宜，其法律后果由我方承担。</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委托期限：</w:t>
      </w:r>
      <w:r>
        <w:rPr>
          <w:rFonts w:hint="eastAsia" w:ascii="宋体" w:hAnsi="宋体" w:eastAsia="宋体" w:cs="宋体"/>
          <w:sz w:val="28"/>
          <w:szCs w:val="28"/>
          <w:u w:val="single"/>
        </w:rPr>
        <w:t>自本授权委托书签署之日起至竞争谈判申请书有效期结束为止。</w:t>
      </w:r>
    </w:p>
    <w:p>
      <w:pPr>
        <w:wordWrap w:val="0"/>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代理人无转委托权。</w:t>
      </w: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r>
        <w:rPr>
          <w:rFonts w:hint="eastAsia" w:ascii="宋体" w:hAnsi="宋体" w:eastAsia="宋体" w:cs="宋体"/>
          <w:sz w:val="28"/>
          <w:szCs w:val="28"/>
        </w:rPr>
        <w:t>竞争谈判申请人：</w:t>
      </w:r>
      <w:r>
        <w:rPr>
          <w:rFonts w:hint="eastAsia" w:ascii="宋体" w:hAnsi="宋体" w:eastAsia="宋体" w:cs="宋体"/>
          <w:sz w:val="28"/>
          <w:szCs w:val="28"/>
          <w:u w:val="single"/>
        </w:rPr>
        <w:t xml:space="preserve">                          </w:t>
      </w:r>
      <w:r>
        <w:rPr>
          <w:rFonts w:hint="eastAsia" w:ascii="宋体" w:hAnsi="宋体" w:eastAsia="宋体" w:cs="宋体"/>
          <w:sz w:val="28"/>
          <w:szCs w:val="28"/>
        </w:rPr>
        <w:t>（盖单位章）</w:t>
      </w:r>
    </w:p>
    <w:p>
      <w:pPr>
        <w:wordWrap w:val="0"/>
        <w:spacing w:line="480" w:lineRule="exact"/>
        <w:rPr>
          <w:rFonts w:ascii="宋体" w:hAnsi="宋体" w:eastAsia="宋体" w:cs="宋体"/>
          <w:sz w:val="28"/>
          <w:szCs w:val="28"/>
        </w:rPr>
      </w:pPr>
      <w:r>
        <w:rPr>
          <w:rFonts w:hint="eastAsia" w:ascii="宋体" w:hAnsi="宋体" w:eastAsia="宋体" w:cs="宋体"/>
          <w:sz w:val="28"/>
          <w:szCs w:val="28"/>
        </w:rPr>
        <w:t>法定代表人：</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wordWrap w:val="0"/>
        <w:spacing w:line="480" w:lineRule="exact"/>
        <w:rPr>
          <w:rFonts w:ascii="宋体" w:hAnsi="宋体" w:eastAsia="宋体" w:cs="宋体"/>
          <w:sz w:val="28"/>
          <w:szCs w:val="28"/>
        </w:rPr>
      </w:pPr>
      <w:r>
        <w:rPr>
          <w:rFonts w:hint="eastAsia" w:ascii="宋体" w:hAnsi="宋体" w:eastAsia="宋体" w:cs="宋体"/>
          <w:sz w:val="28"/>
          <w:szCs w:val="28"/>
        </w:rPr>
        <w:t>身份证号码：</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r>
        <w:rPr>
          <w:rFonts w:hint="eastAsia" w:ascii="宋体" w:hAnsi="宋体" w:eastAsia="宋体" w:cs="宋体"/>
          <w:sz w:val="28"/>
          <w:szCs w:val="28"/>
        </w:rPr>
        <w:t>委托代理人：</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（签字）        </w:t>
      </w:r>
    </w:p>
    <w:p>
      <w:pPr>
        <w:wordWrap w:val="0"/>
        <w:spacing w:line="480" w:lineRule="exact"/>
        <w:rPr>
          <w:rFonts w:ascii="宋体" w:hAnsi="宋体" w:eastAsia="宋体" w:cs="宋体"/>
          <w:sz w:val="28"/>
          <w:szCs w:val="28"/>
        </w:rPr>
      </w:pPr>
      <w:r>
        <w:rPr>
          <w:rFonts w:hint="eastAsia" w:ascii="宋体" w:hAnsi="宋体" w:eastAsia="宋体" w:cs="宋体"/>
          <w:sz w:val="28"/>
          <w:szCs w:val="28"/>
        </w:rPr>
        <w:t>身份证号码：</w:t>
      </w:r>
      <w:r>
        <w:rPr>
          <w:rFonts w:hint="eastAsia" w:ascii="宋体" w:hAnsi="宋体" w:eastAsia="宋体" w:cs="宋体"/>
          <w:sz w:val="28"/>
          <w:szCs w:val="28"/>
          <w:u w:val="single"/>
        </w:rPr>
        <w:t xml:space="preserve">                            </w:t>
      </w: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p>
    <w:p>
      <w:pPr>
        <w:wordWrap w:val="0"/>
        <w:spacing w:line="480" w:lineRule="exact"/>
        <w:rPr>
          <w:rFonts w:ascii="宋体" w:hAnsi="宋体" w:eastAsia="宋体" w:cs="宋体"/>
          <w:sz w:val="28"/>
          <w:szCs w:val="28"/>
        </w:rPr>
      </w:pPr>
    </w:p>
    <w:p>
      <w:pPr>
        <w:wordWrap w:val="0"/>
        <w:spacing w:line="480" w:lineRule="exact"/>
        <w:ind w:firstLine="3080" w:firstLineChars="1100"/>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wordWrap w:val="0"/>
        <w:spacing w:line="480" w:lineRule="exact"/>
        <w:rPr>
          <w:rFonts w:ascii="宋体" w:hAnsi="宋体" w:eastAsia="宋体" w:cs="宋体"/>
          <w:b/>
          <w:sz w:val="28"/>
          <w:szCs w:val="28"/>
        </w:rPr>
      </w:pPr>
    </w:p>
    <w:p>
      <w:pPr>
        <w:tabs>
          <w:tab w:val="left" w:pos="720"/>
          <w:tab w:val="left" w:pos="900"/>
        </w:tabs>
        <w:wordWrap w:val="0"/>
        <w:spacing w:line="480" w:lineRule="exact"/>
        <w:rPr>
          <w:rFonts w:ascii="宋体" w:hAnsi="宋体" w:eastAsia="宋体" w:cs="宋体"/>
          <w:kern w:val="0"/>
          <w:sz w:val="28"/>
          <w:szCs w:val="28"/>
        </w:rPr>
      </w:pPr>
      <w:r>
        <w:rPr>
          <w:rFonts w:hint="eastAsia" w:ascii="宋体" w:hAnsi="宋体" w:eastAsia="宋体" w:cs="宋体"/>
          <w:b/>
          <w:sz w:val="28"/>
          <w:szCs w:val="28"/>
        </w:rPr>
        <w:t>附：委托代理人身份证复印件或扫描件</w:t>
      </w:r>
      <w:r>
        <w:rPr>
          <w:rFonts w:hint="eastAsia" w:ascii="宋体" w:hAnsi="宋体" w:eastAsia="宋体" w:cs="宋体"/>
          <w:sz w:val="28"/>
          <w:szCs w:val="28"/>
        </w:rPr>
        <w:t>（盖单位章）</w:t>
      </w:r>
    </w:p>
    <w:p>
      <w:pPr>
        <w:spacing w:line="480" w:lineRule="exact"/>
        <w:jc w:val="center"/>
        <w:rPr>
          <w:rFonts w:ascii="宋体" w:hAnsi="宋体" w:eastAsia="宋体" w:cs="宋体"/>
          <w:b/>
          <w:sz w:val="28"/>
          <w:szCs w:val="28"/>
        </w:rPr>
      </w:pPr>
    </w:p>
    <w:p>
      <w:pPr>
        <w:pStyle w:val="2"/>
        <w:ind w:left="0" w:leftChars="0" w:firstLine="0" w:firstLineChars="0"/>
        <w:rPr>
          <w:rFonts w:ascii="宋体" w:hAnsi="宋体" w:eastAsia="宋体" w:cs="宋体"/>
          <w:sz w:val="28"/>
          <w:szCs w:val="28"/>
        </w:rPr>
      </w:pPr>
      <w:r>
        <w:rPr>
          <w:rFonts w:hint="eastAsia" w:ascii="宋体" w:hAnsi="宋体" w:eastAsia="宋体" w:cs="宋体"/>
          <w:sz w:val="28"/>
          <w:szCs w:val="28"/>
        </w:rPr>
        <w:t>注：由法定代表人亲自参与竞争谈判活动的，可不附此页。</w:t>
      </w: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t>三、报价函</w:t>
      </w:r>
    </w:p>
    <w:p>
      <w:pPr>
        <w:spacing w:line="480" w:lineRule="exact"/>
        <w:jc w:val="center"/>
        <w:rPr>
          <w:rFonts w:ascii="方正小标宋简体" w:hAnsi="方正小标宋简体" w:eastAsia="方正小标宋简体" w:cs="方正小标宋简体"/>
          <w:bCs/>
          <w:sz w:val="44"/>
          <w:szCs w:val="44"/>
        </w:rPr>
      </w:pPr>
    </w:p>
    <w:p>
      <w:pPr>
        <w:spacing w:line="48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报价函</w:t>
      </w:r>
    </w:p>
    <w:p>
      <w:pPr>
        <w:pStyle w:val="9"/>
        <w:spacing w:line="480" w:lineRule="exact"/>
        <w:rPr>
          <w:rFonts w:ascii="宋体" w:hAnsi="宋体" w:eastAsia="宋体" w:cs="宋体"/>
          <w:sz w:val="28"/>
          <w:szCs w:val="28"/>
        </w:rPr>
      </w:pPr>
    </w:p>
    <w:p>
      <w:pPr>
        <w:spacing w:line="480" w:lineRule="exact"/>
        <w:rPr>
          <w:rFonts w:ascii="宋体" w:hAnsi="宋体" w:eastAsia="宋体" w:cs="宋体"/>
          <w:sz w:val="28"/>
          <w:szCs w:val="28"/>
          <w:u w:val="single"/>
        </w:rPr>
      </w:pPr>
      <w:r>
        <w:rPr>
          <w:rFonts w:hint="eastAsia" w:ascii="宋体" w:hAnsi="宋体" w:eastAsia="宋体" w:cs="宋体"/>
          <w:sz w:val="28"/>
          <w:szCs w:val="28"/>
        </w:rPr>
        <w:t>致：四川</w:t>
      </w:r>
      <w:r>
        <w:rPr>
          <w:rFonts w:hint="eastAsia" w:ascii="宋体" w:hAnsi="宋体" w:eastAsia="宋体" w:cs="宋体"/>
          <w:sz w:val="28"/>
          <w:szCs w:val="28"/>
          <w:lang w:val="en-US" w:eastAsia="zh-CN"/>
        </w:rPr>
        <w:t>省轨道交通投资</w:t>
      </w:r>
      <w:r>
        <w:rPr>
          <w:rFonts w:hint="eastAsia" w:ascii="宋体" w:hAnsi="宋体" w:eastAsia="宋体" w:cs="宋体"/>
          <w:sz w:val="28"/>
          <w:szCs w:val="28"/>
        </w:rPr>
        <w:t xml:space="preserve">有限责任公司 </w:t>
      </w:r>
      <w:r>
        <w:rPr>
          <w:rFonts w:hint="eastAsia" w:ascii="宋体" w:hAnsi="宋体" w:eastAsia="宋体" w:cs="宋体"/>
          <w:sz w:val="28"/>
          <w:szCs w:val="28"/>
          <w:u w:val="single"/>
        </w:rPr>
        <w:t xml:space="preserve">    </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我方全面研究了</w:t>
      </w:r>
      <w:r>
        <w:rPr>
          <w:rFonts w:hint="eastAsia" w:ascii="宋体" w:hAnsi="宋体" w:eastAsia="宋体" w:cs="宋体"/>
          <w:sz w:val="28"/>
          <w:szCs w:val="28"/>
          <w:u w:val="single"/>
        </w:rPr>
        <w:t xml:space="preserve">         （项目名称）</w:t>
      </w:r>
      <w:r>
        <w:rPr>
          <w:rFonts w:hint="eastAsia" w:ascii="宋体" w:hAnsi="宋体" w:eastAsia="宋体" w:cs="宋体"/>
          <w:sz w:val="28"/>
          <w:szCs w:val="28"/>
        </w:rPr>
        <w:t>竞争谈判文件，决定参加你方组织的竞争谈判活动。我方承诺：</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一、我方满足竞争谈判文件中规定的各项要求，我方自愿以含税总价人民币</w:t>
      </w:r>
      <w:r>
        <w:rPr>
          <w:rFonts w:hint="eastAsia" w:ascii="宋体" w:hAnsi="宋体" w:eastAsia="宋体" w:cs="宋体"/>
          <w:sz w:val="28"/>
          <w:szCs w:val="28"/>
          <w:u w:val="single"/>
        </w:rPr>
        <w:t xml:space="preserve">        </w:t>
      </w:r>
      <w:r>
        <w:rPr>
          <w:rFonts w:hint="eastAsia" w:ascii="宋体" w:hAnsi="宋体" w:eastAsia="宋体" w:cs="宋体"/>
          <w:sz w:val="28"/>
          <w:szCs w:val="28"/>
        </w:rPr>
        <w:t>元（大写</w:t>
      </w:r>
      <w:r>
        <w:rPr>
          <w:rFonts w:hint="eastAsia" w:ascii="宋体" w:hAnsi="宋体" w:eastAsia="宋体" w:cs="宋体"/>
          <w:sz w:val="28"/>
          <w:szCs w:val="28"/>
          <w:u w:val="single"/>
        </w:rPr>
        <w:t xml:space="preserve">          </w:t>
      </w:r>
      <w:r>
        <w:rPr>
          <w:rFonts w:hint="eastAsia" w:ascii="宋体" w:hAnsi="宋体" w:eastAsia="宋体" w:cs="宋体"/>
          <w:sz w:val="28"/>
          <w:szCs w:val="28"/>
        </w:rPr>
        <w:t>）进行报价。</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二、服务期限：</w:t>
      </w:r>
      <w:r>
        <w:rPr>
          <w:rFonts w:hint="eastAsia" w:ascii="宋体" w:hAnsi="宋体" w:eastAsia="宋体" w:cs="宋体"/>
          <w:sz w:val="28"/>
          <w:szCs w:val="28"/>
          <w:u w:val="single"/>
        </w:rPr>
        <w:t xml:space="preserve">          </w:t>
      </w:r>
      <w:r>
        <w:rPr>
          <w:rFonts w:hint="eastAsia" w:ascii="宋体" w:hAnsi="宋体" w:eastAsia="宋体" w:cs="宋体"/>
          <w:sz w:val="28"/>
          <w:szCs w:val="28"/>
        </w:rPr>
        <w:t>日历天。</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三、竞争谈判申请有效期为递交竞争谈判申请文件截止时间届满后</w:t>
      </w:r>
      <w:r>
        <w:rPr>
          <w:rFonts w:hint="eastAsia" w:ascii="宋体" w:hAnsi="宋体" w:eastAsia="宋体" w:cs="宋体"/>
          <w:sz w:val="28"/>
          <w:szCs w:val="28"/>
          <w:u w:val="single"/>
        </w:rPr>
        <w:t xml:space="preserve"> 60 </w:t>
      </w:r>
      <w:r>
        <w:rPr>
          <w:rFonts w:hint="eastAsia" w:ascii="宋体" w:hAnsi="宋体" w:eastAsia="宋体" w:cs="宋体"/>
          <w:sz w:val="28"/>
          <w:szCs w:val="28"/>
        </w:rPr>
        <w:t>日历天。</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四、我方保证已提供和将要提供的任何资料和技术、服务等响应承诺情况都是真实的、有效的、合法的，不损害第三人利益。</w:t>
      </w:r>
    </w:p>
    <w:p>
      <w:pPr>
        <w:spacing w:after="120" w:line="480" w:lineRule="exact"/>
        <w:ind w:firstLine="560" w:firstLineChars="200"/>
        <w:rPr>
          <w:rFonts w:ascii="宋体" w:hAnsi="宋体" w:eastAsia="宋体" w:cs="宋体"/>
          <w:sz w:val="28"/>
          <w:szCs w:val="28"/>
        </w:rPr>
      </w:pPr>
      <w:r>
        <w:rPr>
          <w:rFonts w:hint="eastAsia" w:ascii="宋体" w:hAnsi="宋体" w:eastAsia="宋体" w:cs="宋体"/>
          <w:sz w:val="28"/>
          <w:szCs w:val="28"/>
        </w:rPr>
        <w:t>五、我方在知悉后30日历天内与你方签订合同，且签订合同时不向你方提出附加条件。</w:t>
      </w:r>
    </w:p>
    <w:p>
      <w:pPr>
        <w:spacing w:after="120" w:line="480" w:lineRule="exact"/>
        <w:rPr>
          <w:rFonts w:ascii="宋体" w:hAnsi="宋体" w:eastAsia="宋体" w:cs="宋体"/>
          <w:sz w:val="28"/>
          <w:szCs w:val="28"/>
        </w:rPr>
      </w:pPr>
    </w:p>
    <w:p>
      <w:pPr>
        <w:spacing w:after="120" w:line="480" w:lineRule="exact"/>
        <w:rPr>
          <w:rFonts w:ascii="宋体" w:hAnsi="宋体" w:eastAsia="宋体" w:cs="宋体"/>
          <w:sz w:val="28"/>
          <w:szCs w:val="28"/>
        </w:rPr>
      </w:pPr>
    </w:p>
    <w:p>
      <w:pPr>
        <w:spacing w:line="480" w:lineRule="exact"/>
        <w:ind w:firstLine="1400" w:firstLineChars="500"/>
        <w:rPr>
          <w:rFonts w:ascii="宋体" w:hAnsi="宋体" w:eastAsia="宋体" w:cs="宋体"/>
          <w:sz w:val="28"/>
          <w:szCs w:val="28"/>
          <w:u w:val="single"/>
        </w:rPr>
      </w:pPr>
      <w:r>
        <w:rPr>
          <w:rFonts w:hint="eastAsia" w:ascii="宋体" w:hAnsi="宋体" w:eastAsia="宋体" w:cs="宋体"/>
          <w:sz w:val="28"/>
          <w:szCs w:val="28"/>
        </w:rPr>
        <w:t>竞争谈判申请人：</w:t>
      </w:r>
      <w:r>
        <w:rPr>
          <w:rFonts w:hint="eastAsia" w:ascii="宋体" w:hAnsi="宋体" w:eastAsia="宋体" w:cs="宋体"/>
          <w:sz w:val="28"/>
          <w:szCs w:val="28"/>
          <w:u w:val="single"/>
        </w:rPr>
        <w:t xml:space="preserve">                     </w:t>
      </w:r>
      <w:r>
        <w:rPr>
          <w:rFonts w:hint="eastAsia" w:ascii="宋体" w:hAnsi="宋体" w:eastAsia="宋体" w:cs="宋体"/>
          <w:sz w:val="28"/>
          <w:szCs w:val="28"/>
        </w:rPr>
        <w:t>（盖单位章）</w:t>
      </w:r>
    </w:p>
    <w:p>
      <w:pPr>
        <w:spacing w:line="480" w:lineRule="exact"/>
        <w:ind w:firstLine="1960" w:firstLineChars="700"/>
        <w:rPr>
          <w:rFonts w:ascii="宋体" w:hAnsi="宋体" w:eastAsia="宋体" w:cs="宋体"/>
          <w:sz w:val="28"/>
          <w:szCs w:val="28"/>
        </w:rPr>
      </w:pPr>
      <w:r>
        <w:rPr>
          <w:rFonts w:hint="eastAsia" w:ascii="宋体" w:hAnsi="宋体" w:eastAsia="宋体" w:cs="宋体"/>
          <w:sz w:val="28"/>
          <w:szCs w:val="28"/>
        </w:rPr>
        <w:t xml:space="preserve">法定代表人或委托代理人： </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480" w:lineRule="exact"/>
        <w:ind w:firstLine="5040" w:firstLineChars="1800"/>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widowControl/>
        <w:spacing w:line="480" w:lineRule="exact"/>
        <w:jc w:val="left"/>
        <w:rPr>
          <w:rFonts w:ascii="宋体" w:hAnsi="宋体" w:eastAsia="宋体" w:cs="宋体"/>
          <w:b/>
          <w:sz w:val="28"/>
          <w:szCs w:val="28"/>
        </w:rPr>
      </w:pPr>
    </w:p>
    <w:p>
      <w:pPr>
        <w:keepNext/>
        <w:spacing w:before="156" w:beforeLines="50" w:after="156" w:afterLines="50" w:line="480" w:lineRule="exact"/>
        <w:outlineLvl w:val="1"/>
        <w:rPr>
          <w:rFonts w:ascii="黑体" w:hAnsi="黑体" w:eastAsia="黑体" w:cs="黑体"/>
          <w:kern w:val="0"/>
          <w:sz w:val="32"/>
          <w:szCs w:val="32"/>
        </w:rPr>
      </w:pPr>
      <w:r>
        <w:rPr>
          <w:rFonts w:hint="eastAsia" w:ascii="黑体" w:hAnsi="黑体" w:eastAsia="黑体" w:cs="黑体"/>
          <w:kern w:val="0"/>
          <w:sz w:val="32"/>
          <w:szCs w:val="32"/>
        </w:rPr>
        <w:br w:type="page"/>
      </w:r>
    </w:p>
    <w:p>
      <w:pPr>
        <w:spacing w:line="480" w:lineRule="exact"/>
        <w:rPr>
          <w:rFonts w:ascii="黑体" w:hAnsi="黑体" w:eastAsia="黑体" w:cs="黑体"/>
          <w:sz w:val="32"/>
          <w:szCs w:val="32"/>
        </w:rPr>
      </w:pPr>
      <w:r>
        <w:rPr>
          <w:rFonts w:hint="eastAsia" w:ascii="黑体" w:hAnsi="黑体" w:eastAsia="黑体" w:cs="黑体"/>
          <w:sz w:val="32"/>
          <w:szCs w:val="32"/>
        </w:rPr>
        <w:t>四、报价明细表</w:t>
      </w:r>
    </w:p>
    <w:p>
      <w:pPr>
        <w:pStyle w:val="2"/>
        <w:spacing w:line="480" w:lineRule="exact"/>
        <w:ind w:firstLine="643"/>
        <w:rPr>
          <w:rFonts w:ascii="仿宋_GB2312" w:hAnsi="仿宋_GB2312" w:eastAsia="仿宋_GB2312" w:cs="仿宋_GB2312"/>
          <w:b/>
          <w:bCs/>
          <w:kern w:val="0"/>
          <w:sz w:val="32"/>
          <w:szCs w:val="32"/>
        </w:rPr>
      </w:pPr>
    </w:p>
    <w:p>
      <w:pPr>
        <w:pStyle w:val="2"/>
        <w:spacing w:line="480" w:lineRule="exact"/>
        <w:ind w:left="0" w:leftChars="0" w:firstLine="0" w:firstLineChars="0"/>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报价明细表</w:t>
      </w:r>
    </w:p>
    <w:p>
      <w:pPr>
        <w:pStyle w:val="2"/>
        <w:spacing w:line="480" w:lineRule="exact"/>
      </w:pPr>
    </w:p>
    <w:tbl>
      <w:tblPr>
        <w:tblStyle w:val="21"/>
        <w:tblW w:w="8184" w:type="dxa"/>
        <w:jc w:val="center"/>
        <w:tblLayout w:type="fixed"/>
        <w:tblCellMar>
          <w:top w:w="0" w:type="dxa"/>
          <w:left w:w="0" w:type="dxa"/>
          <w:bottom w:w="0" w:type="dxa"/>
          <w:right w:w="0" w:type="dxa"/>
        </w:tblCellMar>
      </w:tblPr>
      <w:tblGrid>
        <w:gridCol w:w="1671"/>
        <w:gridCol w:w="4152"/>
        <w:gridCol w:w="2361"/>
      </w:tblGrid>
      <w:tr>
        <w:tblPrEx>
          <w:tblCellMar>
            <w:top w:w="0" w:type="dxa"/>
            <w:left w:w="0" w:type="dxa"/>
            <w:bottom w:w="0" w:type="dxa"/>
            <w:right w:w="0" w:type="dxa"/>
          </w:tblCellMar>
        </w:tblPrEx>
        <w:trPr>
          <w:trHeight w:val="938" w:hRule="atLeast"/>
          <w:tblHeader/>
          <w:jc w:val="center"/>
        </w:trPr>
        <w:tc>
          <w:tcPr>
            <w:tcW w:w="16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r>
              <w:rPr>
                <w:rFonts w:hint="eastAsia" w:ascii="楷体" w:hAnsi="楷体" w:eastAsia="楷体" w:cs="楷体"/>
                <w:kern w:val="0"/>
                <w:sz w:val="28"/>
                <w:szCs w:val="28"/>
              </w:rPr>
              <w:t>序号</w:t>
            </w:r>
          </w:p>
        </w:tc>
        <w:tc>
          <w:tcPr>
            <w:tcW w:w="415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r>
              <w:rPr>
                <w:rFonts w:hint="eastAsia" w:ascii="楷体" w:hAnsi="楷体" w:eastAsia="楷体" w:cs="楷体"/>
                <w:kern w:val="0"/>
                <w:sz w:val="28"/>
                <w:szCs w:val="28"/>
              </w:rPr>
              <w:t>服务事项</w:t>
            </w:r>
          </w:p>
        </w:tc>
        <w:tc>
          <w:tcPr>
            <w:tcW w:w="2361"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楷体" w:hAnsi="楷体" w:eastAsia="楷体" w:cs="楷体"/>
                <w:kern w:val="0"/>
                <w:sz w:val="28"/>
                <w:szCs w:val="28"/>
              </w:rPr>
            </w:pPr>
            <w:r>
              <w:rPr>
                <w:rFonts w:hint="eastAsia" w:ascii="楷体" w:hAnsi="楷体" w:eastAsia="楷体" w:cs="楷体"/>
                <w:kern w:val="0"/>
                <w:sz w:val="28"/>
                <w:szCs w:val="28"/>
              </w:rPr>
              <w:t>含税价</w:t>
            </w:r>
          </w:p>
        </w:tc>
      </w:tr>
      <w:tr>
        <w:tblPrEx>
          <w:tblCellMar>
            <w:top w:w="0" w:type="dxa"/>
            <w:left w:w="0" w:type="dxa"/>
            <w:bottom w:w="0" w:type="dxa"/>
            <w:right w:w="0" w:type="dxa"/>
          </w:tblCellMar>
        </w:tblPrEx>
        <w:trPr>
          <w:trHeight w:val="502" w:hRule="atLeast"/>
          <w:jc w:val="center"/>
        </w:trPr>
        <w:tc>
          <w:tcPr>
            <w:tcW w:w="16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p>
        </w:tc>
        <w:tc>
          <w:tcPr>
            <w:tcW w:w="415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p>
        </w:tc>
        <w:tc>
          <w:tcPr>
            <w:tcW w:w="2361" w:type="dxa"/>
            <w:tcBorders>
              <w:top w:val="single" w:color="000000" w:sz="4" w:space="0"/>
              <w:left w:val="single" w:color="000000" w:sz="4" w:space="0"/>
              <w:bottom w:val="single" w:color="000000" w:sz="4" w:space="0"/>
              <w:right w:val="single" w:color="000000" w:sz="4" w:space="0"/>
            </w:tcBorders>
          </w:tcPr>
          <w:p>
            <w:pPr>
              <w:widowControl/>
              <w:spacing w:line="480" w:lineRule="exact"/>
              <w:jc w:val="center"/>
              <w:rPr>
                <w:rFonts w:ascii="楷体" w:hAnsi="楷体" w:eastAsia="楷体" w:cs="楷体"/>
                <w:kern w:val="0"/>
                <w:sz w:val="28"/>
                <w:szCs w:val="28"/>
              </w:rPr>
            </w:pPr>
          </w:p>
        </w:tc>
      </w:tr>
      <w:tr>
        <w:tblPrEx>
          <w:tblCellMar>
            <w:top w:w="0" w:type="dxa"/>
            <w:left w:w="0" w:type="dxa"/>
            <w:bottom w:w="0" w:type="dxa"/>
            <w:right w:w="0" w:type="dxa"/>
          </w:tblCellMar>
        </w:tblPrEx>
        <w:trPr>
          <w:trHeight w:val="502" w:hRule="atLeast"/>
          <w:jc w:val="center"/>
        </w:trPr>
        <w:tc>
          <w:tcPr>
            <w:tcW w:w="16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p>
        </w:tc>
        <w:tc>
          <w:tcPr>
            <w:tcW w:w="415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p>
        </w:tc>
        <w:tc>
          <w:tcPr>
            <w:tcW w:w="2361" w:type="dxa"/>
            <w:tcBorders>
              <w:top w:val="single" w:color="000000" w:sz="4" w:space="0"/>
              <w:left w:val="single" w:color="000000" w:sz="4" w:space="0"/>
              <w:bottom w:val="single" w:color="000000" w:sz="4" w:space="0"/>
              <w:right w:val="single" w:color="000000" w:sz="4" w:space="0"/>
            </w:tcBorders>
          </w:tcPr>
          <w:p>
            <w:pPr>
              <w:widowControl/>
              <w:spacing w:line="480" w:lineRule="exact"/>
              <w:jc w:val="center"/>
              <w:rPr>
                <w:rFonts w:ascii="楷体" w:hAnsi="楷体" w:eastAsia="楷体" w:cs="楷体"/>
                <w:kern w:val="0"/>
                <w:sz w:val="28"/>
                <w:szCs w:val="28"/>
              </w:rPr>
            </w:pPr>
          </w:p>
        </w:tc>
      </w:tr>
      <w:tr>
        <w:tblPrEx>
          <w:tblCellMar>
            <w:top w:w="0" w:type="dxa"/>
            <w:left w:w="0" w:type="dxa"/>
            <w:bottom w:w="0" w:type="dxa"/>
            <w:right w:w="0" w:type="dxa"/>
          </w:tblCellMar>
        </w:tblPrEx>
        <w:trPr>
          <w:trHeight w:val="502" w:hRule="atLeast"/>
          <w:jc w:val="center"/>
        </w:trPr>
        <w:tc>
          <w:tcPr>
            <w:tcW w:w="16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p>
        </w:tc>
        <w:tc>
          <w:tcPr>
            <w:tcW w:w="415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p>
        </w:tc>
        <w:tc>
          <w:tcPr>
            <w:tcW w:w="2361" w:type="dxa"/>
            <w:tcBorders>
              <w:top w:val="single" w:color="000000" w:sz="4" w:space="0"/>
              <w:left w:val="single" w:color="000000" w:sz="4" w:space="0"/>
              <w:bottom w:val="single" w:color="000000" w:sz="4" w:space="0"/>
              <w:right w:val="single" w:color="000000" w:sz="4" w:space="0"/>
            </w:tcBorders>
          </w:tcPr>
          <w:p>
            <w:pPr>
              <w:widowControl/>
              <w:spacing w:line="480" w:lineRule="exact"/>
              <w:jc w:val="center"/>
              <w:rPr>
                <w:rFonts w:ascii="楷体" w:hAnsi="楷体" w:eastAsia="楷体" w:cs="楷体"/>
                <w:kern w:val="0"/>
                <w:sz w:val="28"/>
                <w:szCs w:val="28"/>
              </w:rPr>
            </w:pPr>
          </w:p>
        </w:tc>
      </w:tr>
      <w:tr>
        <w:tblPrEx>
          <w:tblCellMar>
            <w:top w:w="0" w:type="dxa"/>
            <w:left w:w="0" w:type="dxa"/>
            <w:bottom w:w="0" w:type="dxa"/>
            <w:right w:w="0" w:type="dxa"/>
          </w:tblCellMar>
        </w:tblPrEx>
        <w:trPr>
          <w:trHeight w:val="502" w:hRule="atLeast"/>
          <w:jc w:val="center"/>
        </w:trPr>
        <w:tc>
          <w:tcPr>
            <w:tcW w:w="5823"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kern w:val="0"/>
                <w:sz w:val="28"/>
                <w:szCs w:val="28"/>
              </w:rPr>
            </w:pPr>
            <w:r>
              <w:rPr>
                <w:rFonts w:hint="eastAsia" w:ascii="楷体" w:hAnsi="楷体" w:eastAsia="楷体" w:cs="楷体"/>
                <w:kern w:val="0"/>
                <w:sz w:val="28"/>
                <w:szCs w:val="28"/>
              </w:rPr>
              <w:t>合计</w:t>
            </w:r>
          </w:p>
        </w:tc>
        <w:tc>
          <w:tcPr>
            <w:tcW w:w="2361" w:type="dxa"/>
            <w:tcBorders>
              <w:top w:val="single" w:color="000000" w:sz="4" w:space="0"/>
              <w:left w:val="single" w:color="000000" w:sz="4" w:space="0"/>
              <w:bottom w:val="single" w:color="000000" w:sz="4" w:space="0"/>
              <w:right w:val="single" w:color="000000" w:sz="4" w:space="0"/>
            </w:tcBorders>
          </w:tcPr>
          <w:p>
            <w:pPr>
              <w:widowControl/>
              <w:spacing w:line="480" w:lineRule="exact"/>
              <w:jc w:val="center"/>
              <w:rPr>
                <w:rFonts w:ascii="楷体" w:hAnsi="楷体" w:eastAsia="楷体" w:cs="楷体"/>
                <w:kern w:val="0"/>
                <w:sz w:val="28"/>
                <w:szCs w:val="28"/>
              </w:rPr>
            </w:pPr>
          </w:p>
        </w:tc>
      </w:tr>
    </w:tbl>
    <w:p>
      <w:pPr>
        <w:spacing w:line="480" w:lineRule="exact"/>
        <w:rPr>
          <w:rFonts w:ascii="宋体" w:hAnsi="宋体" w:eastAsia="宋体" w:cs="宋体"/>
          <w:sz w:val="28"/>
          <w:szCs w:val="28"/>
        </w:rPr>
      </w:pPr>
      <w:r>
        <w:rPr>
          <w:rFonts w:hint="eastAsia" w:ascii="宋体" w:hAnsi="宋体" w:eastAsia="宋体" w:cs="宋体"/>
          <w:b/>
          <w:bCs/>
          <w:sz w:val="28"/>
          <w:szCs w:val="28"/>
        </w:rPr>
        <w:t>注：</w:t>
      </w:r>
      <w:r>
        <w:rPr>
          <w:rFonts w:hint="eastAsia" w:ascii="宋体" w:hAnsi="宋体" w:eastAsia="宋体" w:cs="宋体"/>
          <w:sz w:val="28"/>
          <w:szCs w:val="28"/>
        </w:rPr>
        <w:t>1.以上表格格式行可增减。</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2.竞争谈判申请人必须按“报价明细表</w:t>
      </w:r>
      <w:r>
        <w:rPr>
          <w:rFonts w:hint="eastAsia" w:ascii="宋体" w:hAnsi="宋体" w:eastAsia="宋体" w:cs="宋体"/>
          <w:bCs/>
          <w:sz w:val="28"/>
          <w:szCs w:val="28"/>
        </w:rPr>
        <w:t>”的格式及采购内容（竞争谈判文件第三章）</w:t>
      </w:r>
      <w:r>
        <w:rPr>
          <w:rFonts w:hint="eastAsia" w:ascii="宋体" w:hAnsi="宋体" w:eastAsia="宋体" w:cs="宋体"/>
          <w:sz w:val="28"/>
          <w:szCs w:val="28"/>
        </w:rPr>
        <w:t>详细报出服务事项的价格，</w:t>
      </w:r>
      <w:r>
        <w:rPr>
          <w:rFonts w:hint="eastAsia" w:ascii="宋体" w:hAnsi="宋体" w:eastAsia="宋体" w:cs="宋体"/>
          <w:b/>
          <w:sz w:val="28"/>
          <w:szCs w:val="28"/>
        </w:rPr>
        <w:t>不得漏报，否则视为已包含在合计报价中不再单独计价</w:t>
      </w:r>
      <w:r>
        <w:rPr>
          <w:rFonts w:hint="eastAsia" w:ascii="宋体" w:hAnsi="宋体" w:eastAsia="宋体" w:cs="宋体"/>
          <w:sz w:val="28"/>
          <w:szCs w:val="28"/>
        </w:rPr>
        <w:t>。</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 xml:space="preserve">3.所有报价均用人民币表示,其合计报价为完成本项目约定工作内容所发生的成本、利润、管理费、税金、风险费等全部费用（另有约定除外）。 </w:t>
      </w:r>
    </w:p>
    <w:p>
      <w:pPr>
        <w:spacing w:line="480" w:lineRule="exact"/>
        <w:ind w:firstLine="560" w:firstLineChars="200"/>
        <w:rPr>
          <w:rFonts w:ascii="宋体" w:hAnsi="宋体" w:eastAsia="宋体" w:cs="宋体"/>
          <w:sz w:val="28"/>
          <w:szCs w:val="28"/>
        </w:rPr>
      </w:pPr>
      <w:r>
        <w:rPr>
          <w:rFonts w:hint="eastAsia" w:ascii="宋体" w:hAnsi="宋体" w:eastAsia="宋体" w:cs="宋体"/>
          <w:sz w:val="28"/>
          <w:szCs w:val="28"/>
        </w:rPr>
        <w:t>4.“报价明细表”为多页的，每页均须加盖竞争谈判申请人公章。</w:t>
      </w:r>
    </w:p>
    <w:p>
      <w:pPr>
        <w:spacing w:after="120" w:line="480" w:lineRule="exact"/>
        <w:rPr>
          <w:rFonts w:ascii="宋体" w:hAnsi="宋体" w:eastAsia="宋体" w:cs="宋体"/>
          <w:sz w:val="28"/>
          <w:szCs w:val="28"/>
        </w:rPr>
      </w:pPr>
    </w:p>
    <w:p>
      <w:pPr>
        <w:spacing w:after="120" w:line="480" w:lineRule="exact"/>
        <w:rPr>
          <w:rFonts w:ascii="宋体" w:hAnsi="宋体" w:eastAsia="宋体" w:cs="宋体"/>
          <w:sz w:val="28"/>
          <w:szCs w:val="28"/>
        </w:rPr>
      </w:pPr>
    </w:p>
    <w:p>
      <w:pPr>
        <w:spacing w:line="480" w:lineRule="exact"/>
        <w:ind w:firstLine="1400" w:firstLineChars="500"/>
        <w:rPr>
          <w:rFonts w:ascii="宋体" w:hAnsi="宋体" w:eastAsia="宋体" w:cs="宋体"/>
          <w:sz w:val="28"/>
          <w:szCs w:val="28"/>
          <w:u w:val="single"/>
        </w:rPr>
      </w:pPr>
      <w:r>
        <w:rPr>
          <w:rFonts w:hint="eastAsia" w:ascii="宋体" w:hAnsi="宋体" w:eastAsia="宋体" w:cs="宋体"/>
          <w:sz w:val="28"/>
          <w:szCs w:val="28"/>
        </w:rPr>
        <w:t>竞争谈判申请人：</w:t>
      </w:r>
      <w:r>
        <w:rPr>
          <w:rFonts w:hint="eastAsia" w:ascii="宋体" w:hAnsi="宋体" w:eastAsia="宋体" w:cs="宋体"/>
          <w:sz w:val="28"/>
          <w:szCs w:val="28"/>
          <w:u w:val="single"/>
        </w:rPr>
        <w:t xml:space="preserve">                     </w:t>
      </w:r>
      <w:r>
        <w:rPr>
          <w:rFonts w:hint="eastAsia" w:ascii="宋体" w:hAnsi="宋体" w:eastAsia="宋体" w:cs="宋体"/>
          <w:sz w:val="28"/>
          <w:szCs w:val="28"/>
        </w:rPr>
        <w:t>（盖单位章）</w:t>
      </w:r>
    </w:p>
    <w:p>
      <w:pPr>
        <w:spacing w:line="480" w:lineRule="exact"/>
        <w:ind w:firstLine="1960" w:firstLineChars="700"/>
        <w:rPr>
          <w:rFonts w:ascii="宋体" w:hAnsi="宋体" w:eastAsia="宋体" w:cs="宋体"/>
          <w:sz w:val="28"/>
          <w:szCs w:val="28"/>
        </w:rPr>
      </w:pPr>
      <w:r>
        <w:rPr>
          <w:rFonts w:hint="eastAsia" w:ascii="宋体" w:hAnsi="宋体" w:eastAsia="宋体" w:cs="宋体"/>
          <w:sz w:val="28"/>
          <w:szCs w:val="28"/>
        </w:rPr>
        <w:t xml:space="preserve">法定代表人或委托代理人： </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480" w:lineRule="exact"/>
        <w:ind w:firstLine="5040" w:firstLineChars="1800"/>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widowControl/>
        <w:spacing w:line="480" w:lineRule="exact"/>
        <w:jc w:val="left"/>
        <w:rPr>
          <w:rFonts w:ascii="宋体" w:hAnsi="宋体" w:eastAsia="宋体" w:cs="宋体"/>
          <w:b/>
          <w:sz w:val="28"/>
          <w:szCs w:val="28"/>
        </w:rPr>
      </w:pPr>
    </w:p>
    <w:p>
      <w:pPr>
        <w:widowControl/>
        <w:spacing w:line="480" w:lineRule="exact"/>
        <w:jc w:val="left"/>
        <w:rPr>
          <w:rFonts w:ascii="宋体" w:hAnsi="宋体" w:eastAsia="宋体" w:cs="宋体"/>
          <w:kern w:val="0"/>
          <w:sz w:val="28"/>
          <w:szCs w:val="28"/>
        </w:rPr>
      </w:pPr>
      <w:r>
        <w:rPr>
          <w:rFonts w:hint="eastAsia" w:ascii="宋体" w:hAnsi="宋体" w:eastAsia="宋体" w:cs="宋体"/>
          <w:kern w:val="0"/>
          <w:sz w:val="28"/>
          <w:szCs w:val="28"/>
        </w:rPr>
        <w:br w:type="page"/>
      </w:r>
    </w:p>
    <w:p>
      <w:pPr>
        <w:spacing w:line="480" w:lineRule="exact"/>
        <w:rPr>
          <w:rFonts w:ascii="仿宋_GB2312" w:hAnsi="仿宋_GB2312" w:eastAsia="仿宋_GB2312" w:cs="仿宋_GB2312"/>
          <w:sz w:val="32"/>
          <w:szCs w:val="32"/>
        </w:rPr>
      </w:pPr>
      <w:r>
        <w:rPr>
          <w:rFonts w:hint="eastAsia" w:ascii="黑体" w:hAnsi="黑体" w:eastAsia="黑体" w:cs="黑体"/>
          <w:sz w:val="32"/>
          <w:szCs w:val="32"/>
        </w:rPr>
        <w:t>五、营业执照或法人证书</w:t>
      </w:r>
    </w:p>
    <w:p>
      <w:pPr>
        <w:pStyle w:val="19"/>
        <w:spacing w:before="0" w:beforeAutospacing="0" w:after="0" w:afterAutospacing="0" w:line="480" w:lineRule="exact"/>
        <w:rPr>
          <w:rFonts w:ascii="宋体" w:hAnsi="宋体" w:eastAsia="宋体" w:cs="宋体"/>
          <w:sz w:val="28"/>
          <w:szCs w:val="28"/>
        </w:rPr>
      </w:pPr>
      <w:r>
        <w:rPr>
          <w:rFonts w:hint="eastAsia" w:cs="宋体"/>
          <w:kern w:val="2"/>
          <w:sz w:val="28"/>
          <w:szCs w:val="28"/>
        </w:rPr>
        <w:t>提供营业执照或法人证书副本复印件或扫描件（盖单位章）。</w:t>
      </w:r>
      <w:bookmarkStart w:id="1" w:name="_Toc4423"/>
      <w:bookmarkStart w:id="2" w:name="_Toc29684_WPSOffice_Level1"/>
      <w:bookmarkStart w:id="3" w:name="_Toc18306"/>
      <w:bookmarkStart w:id="4" w:name="_Toc325028473"/>
      <w:bookmarkStart w:id="5" w:name="_Toc375905752"/>
      <w:bookmarkStart w:id="6" w:name="_Toc21134_WPSOffice_Level1"/>
      <w:r>
        <w:rPr>
          <w:rFonts w:hint="eastAsia" w:ascii="宋体" w:hAnsi="宋体" w:eastAsia="宋体" w:cs="宋体"/>
          <w:sz w:val="28"/>
          <w:szCs w:val="28"/>
        </w:rPr>
        <w:br w:type="page"/>
      </w:r>
      <w:bookmarkEnd w:id="1"/>
      <w:bookmarkEnd w:id="2"/>
      <w:bookmarkEnd w:id="3"/>
      <w:bookmarkEnd w:id="4"/>
      <w:bookmarkEnd w:id="5"/>
      <w:bookmarkEnd w:id="6"/>
    </w:p>
    <w:p>
      <w:pPr>
        <w:widowControl/>
        <w:spacing w:line="480" w:lineRule="exact"/>
        <w:jc w:val="left"/>
      </w:pPr>
      <w:bookmarkStart w:id="7" w:name="_Toc185047535"/>
      <w:r>
        <w:rPr>
          <w:rFonts w:hint="eastAsia" w:ascii="黑体" w:hAnsi="黑体" w:eastAsia="黑体" w:cs="黑体"/>
          <w:kern w:val="0"/>
          <w:sz w:val="32"/>
          <w:szCs w:val="32"/>
          <w:lang w:val="en-US" w:eastAsia="zh-CN"/>
        </w:rPr>
        <w:t>六</w:t>
      </w:r>
      <w:r>
        <w:rPr>
          <w:rFonts w:hint="eastAsia" w:ascii="黑体" w:hAnsi="黑体" w:eastAsia="黑体" w:cs="黑体"/>
          <w:kern w:val="0"/>
          <w:sz w:val="32"/>
          <w:szCs w:val="32"/>
        </w:rPr>
        <w:t>、类似项目业绩</w:t>
      </w:r>
    </w:p>
    <w:p>
      <w:pPr>
        <w:pStyle w:val="2"/>
        <w:spacing w:line="480" w:lineRule="exact"/>
        <w:ind w:firstLine="643"/>
        <w:rPr>
          <w:rFonts w:ascii="仿宋_GB2312" w:hAnsi="仿宋_GB2312" w:eastAsia="仿宋_GB2312" w:cs="仿宋_GB2312"/>
          <w:b/>
          <w:bCs/>
          <w:kern w:val="0"/>
          <w:sz w:val="32"/>
          <w:szCs w:val="32"/>
        </w:rPr>
      </w:pPr>
    </w:p>
    <w:p>
      <w:pPr>
        <w:pStyle w:val="2"/>
        <w:spacing w:line="480" w:lineRule="exact"/>
        <w:ind w:left="0" w:leftChars="0" w:firstLine="0" w:firstLineChars="0"/>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类似项目业绩表</w:t>
      </w:r>
    </w:p>
    <w:p>
      <w:pPr>
        <w:pStyle w:val="2"/>
        <w:spacing w:line="480" w:lineRule="exact"/>
      </w:pPr>
    </w:p>
    <w:tbl>
      <w:tblPr>
        <w:tblStyle w:val="21"/>
        <w:tblW w:w="85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6"/>
        <w:gridCol w:w="3397"/>
        <w:gridCol w:w="1950"/>
        <w:gridCol w:w="21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jc w:val="center"/>
              <w:rPr>
                <w:rFonts w:ascii="楷体" w:hAnsi="楷体" w:eastAsia="楷体" w:cs="楷体"/>
                <w:bCs/>
                <w:sz w:val="28"/>
                <w:szCs w:val="28"/>
              </w:rPr>
            </w:pPr>
            <w:r>
              <w:rPr>
                <w:rFonts w:hint="eastAsia" w:ascii="楷体" w:hAnsi="楷体" w:eastAsia="楷体" w:cs="楷体"/>
                <w:bCs/>
                <w:sz w:val="28"/>
                <w:szCs w:val="28"/>
              </w:rPr>
              <w:t>序号</w:t>
            </w:r>
          </w:p>
        </w:tc>
        <w:tc>
          <w:tcPr>
            <w:tcW w:w="3397" w:type="dxa"/>
            <w:vAlign w:val="center"/>
          </w:tcPr>
          <w:p>
            <w:pPr>
              <w:autoSpaceDE w:val="0"/>
              <w:autoSpaceDN w:val="0"/>
              <w:adjustRightInd w:val="0"/>
              <w:spacing w:line="480" w:lineRule="exact"/>
              <w:jc w:val="center"/>
              <w:rPr>
                <w:rFonts w:ascii="楷体" w:hAnsi="楷体" w:eastAsia="楷体" w:cs="楷体"/>
                <w:bCs/>
                <w:sz w:val="28"/>
                <w:szCs w:val="28"/>
              </w:rPr>
            </w:pPr>
            <w:r>
              <w:rPr>
                <w:rFonts w:hint="eastAsia" w:ascii="楷体" w:hAnsi="楷体" w:eastAsia="楷体" w:cs="楷体"/>
                <w:bCs/>
                <w:sz w:val="28"/>
                <w:szCs w:val="28"/>
              </w:rPr>
              <w:t>项目名称</w:t>
            </w:r>
          </w:p>
        </w:tc>
        <w:tc>
          <w:tcPr>
            <w:tcW w:w="1950" w:type="dxa"/>
            <w:vAlign w:val="center"/>
          </w:tcPr>
          <w:p>
            <w:pPr>
              <w:autoSpaceDE w:val="0"/>
              <w:autoSpaceDN w:val="0"/>
              <w:adjustRightInd w:val="0"/>
              <w:spacing w:line="480" w:lineRule="exact"/>
              <w:jc w:val="center"/>
              <w:rPr>
                <w:rFonts w:ascii="楷体" w:hAnsi="楷体" w:eastAsia="楷体" w:cs="楷体"/>
                <w:bCs/>
                <w:sz w:val="28"/>
                <w:szCs w:val="28"/>
              </w:rPr>
            </w:pPr>
            <w:r>
              <w:rPr>
                <w:rFonts w:hint="eastAsia" w:ascii="楷体" w:hAnsi="楷体" w:eastAsia="楷体" w:cs="楷体"/>
                <w:bCs/>
                <w:sz w:val="28"/>
                <w:szCs w:val="28"/>
              </w:rPr>
              <w:t>合同签订时间</w:t>
            </w:r>
          </w:p>
        </w:tc>
        <w:tc>
          <w:tcPr>
            <w:tcW w:w="2177" w:type="dxa"/>
            <w:vAlign w:val="center"/>
          </w:tcPr>
          <w:p>
            <w:pPr>
              <w:autoSpaceDE w:val="0"/>
              <w:autoSpaceDN w:val="0"/>
              <w:adjustRightInd w:val="0"/>
              <w:spacing w:line="480" w:lineRule="exact"/>
              <w:jc w:val="center"/>
              <w:rPr>
                <w:rFonts w:ascii="楷体" w:hAnsi="楷体" w:eastAsia="楷体" w:cs="楷体"/>
                <w:bCs/>
                <w:sz w:val="28"/>
                <w:szCs w:val="28"/>
              </w:rPr>
            </w:pPr>
            <w:r>
              <w:rPr>
                <w:rFonts w:hint="eastAsia" w:ascii="楷体" w:hAnsi="楷体" w:eastAsia="楷体" w:cs="楷体"/>
                <w:bCs/>
                <w:sz w:val="28"/>
                <w:szCs w:val="28"/>
              </w:rPr>
              <w:t>合同总价（元）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217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217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217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217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c>
          <w:tcPr>
            <w:tcW w:w="2177" w:type="dxa"/>
            <w:vAlign w:val="center"/>
          </w:tcPr>
          <w:p>
            <w:pPr>
              <w:autoSpaceDE w:val="0"/>
              <w:autoSpaceDN w:val="0"/>
              <w:adjustRightInd w:val="0"/>
              <w:spacing w:line="480" w:lineRule="exact"/>
              <w:ind w:firstLine="482"/>
              <w:jc w:val="center"/>
              <w:rPr>
                <w:rFonts w:ascii="楷体" w:hAnsi="楷体" w:eastAsia="楷体" w:cs="楷体"/>
                <w:bCs/>
                <w:sz w:val="28"/>
                <w:szCs w:val="28"/>
              </w:rPr>
            </w:pPr>
          </w:p>
        </w:tc>
      </w:tr>
    </w:tbl>
    <w:p>
      <w:pPr>
        <w:autoSpaceDE w:val="0"/>
        <w:autoSpaceDN w:val="0"/>
        <w:adjustRightInd w:val="0"/>
        <w:spacing w:line="480" w:lineRule="exact"/>
        <w:rPr>
          <w:rFonts w:ascii="宋体" w:hAnsi="宋体" w:eastAsia="宋体" w:cs="宋体"/>
          <w:sz w:val="28"/>
          <w:szCs w:val="28"/>
        </w:rPr>
      </w:pPr>
      <w:r>
        <w:rPr>
          <w:rFonts w:hint="eastAsia" w:ascii="宋体" w:hAnsi="宋体" w:eastAsia="宋体" w:cs="宋体"/>
          <w:sz w:val="28"/>
          <w:szCs w:val="28"/>
        </w:rPr>
        <w:t>注：提供合同或者中选通知书等作为证明材料，证明材料应能体现满足以上要求的内容。</w:t>
      </w:r>
    </w:p>
    <w:p>
      <w:pPr>
        <w:widowControl/>
        <w:spacing w:line="480" w:lineRule="exact"/>
        <w:jc w:val="left"/>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br w:type="page"/>
      </w:r>
    </w:p>
    <w:p>
      <w:pPr>
        <w:widowControl/>
        <w:spacing w:line="480" w:lineRule="exact"/>
        <w:jc w:val="left"/>
        <w:rPr>
          <w:rFonts w:ascii="黑体" w:hAnsi="黑体" w:eastAsia="黑体" w:cs="黑体"/>
          <w:kern w:val="0"/>
          <w:sz w:val="32"/>
          <w:szCs w:val="32"/>
        </w:rPr>
      </w:pPr>
      <w:r>
        <w:rPr>
          <w:rFonts w:hint="eastAsia" w:ascii="黑体" w:hAnsi="黑体" w:eastAsia="黑体" w:cs="黑体"/>
          <w:sz w:val="32"/>
          <w:szCs w:val="32"/>
          <w:lang w:val="en-US" w:eastAsia="zh-CN"/>
        </w:rPr>
        <w:t>七</w:t>
      </w:r>
      <w:r>
        <w:rPr>
          <w:rFonts w:hint="eastAsia" w:ascii="黑体" w:hAnsi="黑体" w:eastAsia="黑体" w:cs="黑体"/>
          <w:sz w:val="32"/>
          <w:szCs w:val="32"/>
        </w:rPr>
        <w:t>、</w:t>
      </w:r>
      <w:r>
        <w:rPr>
          <w:rFonts w:hint="eastAsia" w:ascii="黑体" w:hAnsi="黑体" w:eastAsia="黑体" w:cs="黑体"/>
          <w:kern w:val="0"/>
          <w:sz w:val="32"/>
          <w:szCs w:val="32"/>
        </w:rPr>
        <w:t>关于信誉情况的承诺函</w:t>
      </w:r>
    </w:p>
    <w:p>
      <w:pPr>
        <w:autoSpaceDE w:val="0"/>
        <w:autoSpaceDN w:val="0"/>
        <w:adjustRightInd w:val="0"/>
        <w:spacing w:line="480" w:lineRule="exact"/>
        <w:ind w:firstLine="643" w:firstLineChars="200"/>
        <w:jc w:val="center"/>
        <w:rPr>
          <w:rFonts w:ascii="仿宋_GB2312" w:hAnsi="仿宋_GB2312" w:eastAsia="仿宋_GB2312" w:cs="仿宋_GB2312"/>
          <w:b/>
          <w:bCs/>
          <w:sz w:val="32"/>
          <w:szCs w:val="32"/>
        </w:rPr>
      </w:pPr>
    </w:p>
    <w:p>
      <w:pPr>
        <w:autoSpaceDE w:val="0"/>
        <w:autoSpaceDN w:val="0"/>
        <w:adjustRightInd w:val="0"/>
        <w:spacing w:line="4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关于信誉情况的承诺函</w:t>
      </w:r>
    </w:p>
    <w:p>
      <w:pPr>
        <w:tabs>
          <w:tab w:val="left" w:pos="1478"/>
        </w:tabs>
        <w:spacing w:after="120" w:line="480" w:lineRule="exact"/>
        <w:ind w:left="112"/>
        <w:rPr>
          <w:rFonts w:ascii="宋体" w:hAnsi="宋体" w:eastAsia="宋体" w:cs="宋体"/>
          <w:sz w:val="28"/>
          <w:szCs w:val="28"/>
          <w:u w:val="single" w:color="000000"/>
        </w:rPr>
      </w:pPr>
    </w:p>
    <w:p>
      <w:pPr>
        <w:spacing w:after="120" w:line="480" w:lineRule="exact"/>
        <w:rPr>
          <w:rFonts w:ascii="宋体" w:hAnsi="宋体" w:eastAsia="宋体" w:cs="宋体"/>
          <w:sz w:val="28"/>
          <w:szCs w:val="28"/>
        </w:rPr>
      </w:pPr>
      <w:r>
        <w:rPr>
          <w:rFonts w:hint="eastAsia" w:ascii="宋体" w:hAnsi="宋体" w:eastAsia="宋体" w:cs="宋体"/>
          <w:sz w:val="28"/>
          <w:szCs w:val="28"/>
        </w:rPr>
        <w:t>四川</w:t>
      </w:r>
      <w:r>
        <w:rPr>
          <w:rFonts w:hint="eastAsia" w:ascii="宋体" w:hAnsi="宋体" w:eastAsia="宋体" w:cs="宋体"/>
          <w:sz w:val="28"/>
          <w:szCs w:val="28"/>
          <w:lang w:val="en-US" w:eastAsia="zh-CN"/>
        </w:rPr>
        <w:t>省轨道交通投资</w:t>
      </w:r>
      <w:r>
        <w:rPr>
          <w:rFonts w:hint="eastAsia" w:ascii="宋体" w:hAnsi="宋体" w:eastAsia="宋体" w:cs="宋体"/>
          <w:sz w:val="28"/>
          <w:szCs w:val="28"/>
        </w:rPr>
        <w:t>有限责任公司：</w:t>
      </w:r>
    </w:p>
    <w:p>
      <w:pPr>
        <w:tabs>
          <w:tab w:val="left" w:pos="1689"/>
          <w:tab w:val="left" w:pos="4732"/>
        </w:tabs>
        <w:spacing w:after="120" w:line="480" w:lineRule="exact"/>
        <w:ind w:firstLine="560" w:firstLineChars="200"/>
        <w:rPr>
          <w:rFonts w:ascii="宋体" w:hAnsi="宋体" w:eastAsia="宋体" w:cs="宋体"/>
          <w:sz w:val="28"/>
          <w:szCs w:val="28"/>
        </w:rPr>
      </w:pPr>
      <w:r>
        <w:rPr>
          <w:rFonts w:hint="eastAsia" w:ascii="宋体" w:hAnsi="宋体" w:eastAsia="宋体" w:cs="宋体"/>
          <w:sz w:val="28"/>
          <w:szCs w:val="28"/>
        </w:rPr>
        <w:t>我方参加</w:t>
      </w:r>
      <w:r>
        <w:rPr>
          <w:rFonts w:hint="eastAsia" w:ascii="宋体" w:hAnsi="宋体" w:eastAsia="宋体" w:cs="宋体"/>
          <w:sz w:val="28"/>
          <w:szCs w:val="28"/>
          <w:u w:val="single" w:color="000000"/>
        </w:rPr>
        <w:t>（项目）</w:t>
      </w:r>
      <w:r>
        <w:rPr>
          <w:rFonts w:hint="eastAsia" w:ascii="宋体" w:hAnsi="宋体" w:eastAsia="宋体" w:cs="宋体"/>
          <w:sz w:val="28"/>
          <w:szCs w:val="28"/>
        </w:rPr>
        <w:t>竞争谈判活动前3年内，在经营活动中没有重大违法记录。</w:t>
      </w:r>
    </w:p>
    <w:p>
      <w:pPr>
        <w:tabs>
          <w:tab w:val="left" w:pos="1689"/>
          <w:tab w:val="left" w:pos="4732"/>
        </w:tabs>
        <w:spacing w:after="120" w:line="480" w:lineRule="exact"/>
        <w:ind w:firstLine="560" w:firstLineChars="200"/>
        <w:rPr>
          <w:rFonts w:ascii="宋体" w:hAnsi="宋体" w:eastAsia="宋体" w:cs="宋体"/>
          <w:sz w:val="28"/>
          <w:szCs w:val="28"/>
        </w:rPr>
      </w:pPr>
      <w:r>
        <w:rPr>
          <w:rFonts w:hint="eastAsia" w:ascii="宋体" w:hAnsi="宋体" w:eastAsia="宋体" w:cs="宋体"/>
          <w:sz w:val="28"/>
          <w:szCs w:val="28"/>
        </w:rPr>
        <w:t>特此承诺！</w:t>
      </w:r>
    </w:p>
    <w:p>
      <w:pPr>
        <w:spacing w:after="120" w:line="480" w:lineRule="exact"/>
        <w:rPr>
          <w:rFonts w:ascii="宋体" w:hAnsi="宋体" w:eastAsia="宋体" w:cs="宋体"/>
          <w:sz w:val="28"/>
          <w:szCs w:val="28"/>
        </w:rPr>
      </w:pPr>
    </w:p>
    <w:p>
      <w:pPr>
        <w:spacing w:after="120" w:line="480" w:lineRule="exact"/>
        <w:rPr>
          <w:rFonts w:ascii="宋体" w:hAnsi="宋体" w:eastAsia="宋体" w:cs="宋体"/>
          <w:sz w:val="28"/>
          <w:szCs w:val="28"/>
        </w:rPr>
      </w:pPr>
    </w:p>
    <w:p>
      <w:pPr>
        <w:spacing w:line="480" w:lineRule="exact"/>
        <w:ind w:firstLine="1400" w:firstLineChars="500"/>
        <w:rPr>
          <w:rFonts w:ascii="宋体" w:hAnsi="宋体" w:eastAsia="宋体" w:cs="宋体"/>
          <w:sz w:val="28"/>
          <w:szCs w:val="28"/>
          <w:u w:val="single"/>
        </w:rPr>
      </w:pPr>
      <w:r>
        <w:rPr>
          <w:rFonts w:hint="eastAsia" w:ascii="宋体" w:hAnsi="宋体" w:eastAsia="宋体" w:cs="宋体"/>
          <w:sz w:val="28"/>
          <w:szCs w:val="28"/>
        </w:rPr>
        <w:t>竞争谈判申请人：</w:t>
      </w:r>
      <w:r>
        <w:rPr>
          <w:rFonts w:hint="eastAsia" w:ascii="宋体" w:hAnsi="宋体" w:eastAsia="宋体" w:cs="宋体"/>
          <w:sz w:val="28"/>
          <w:szCs w:val="28"/>
          <w:u w:val="single"/>
        </w:rPr>
        <w:t xml:space="preserve">                     </w:t>
      </w:r>
      <w:r>
        <w:rPr>
          <w:rFonts w:hint="eastAsia" w:ascii="宋体" w:hAnsi="宋体" w:eastAsia="宋体" w:cs="宋体"/>
          <w:sz w:val="28"/>
          <w:szCs w:val="28"/>
        </w:rPr>
        <w:t>（盖单位章）</w:t>
      </w:r>
    </w:p>
    <w:p>
      <w:pPr>
        <w:spacing w:line="480" w:lineRule="exact"/>
        <w:ind w:firstLine="1960" w:firstLineChars="700"/>
        <w:rPr>
          <w:rFonts w:ascii="宋体" w:hAnsi="宋体" w:eastAsia="宋体" w:cs="宋体"/>
          <w:sz w:val="28"/>
          <w:szCs w:val="28"/>
        </w:rPr>
      </w:pPr>
      <w:r>
        <w:rPr>
          <w:rFonts w:hint="eastAsia" w:ascii="宋体" w:hAnsi="宋体" w:eastAsia="宋体" w:cs="宋体"/>
          <w:sz w:val="28"/>
          <w:szCs w:val="28"/>
        </w:rPr>
        <w:t xml:space="preserve">法定代表人或委托代理人： </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480" w:lineRule="exact"/>
        <w:ind w:firstLine="5040" w:firstLineChars="1800"/>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widowControl/>
        <w:jc w:val="left"/>
        <w:rPr>
          <w:rFonts w:ascii="黑体" w:hAnsi="黑体" w:eastAsia="黑体" w:cs="黑体"/>
          <w:sz w:val="32"/>
          <w:szCs w:val="32"/>
        </w:rPr>
      </w:pPr>
      <w:r>
        <w:rPr>
          <w:rFonts w:ascii="黑体" w:hAnsi="黑体" w:eastAsia="黑体" w:cs="黑体"/>
          <w:sz w:val="32"/>
          <w:szCs w:val="32"/>
        </w:rPr>
        <w:br w:type="page"/>
      </w:r>
    </w:p>
    <w:p>
      <w:pPr>
        <w:pStyle w:val="2"/>
        <w:ind w:left="0" w:leftChars="0" w:firstLine="0" w:firstLineChars="0"/>
        <w:rPr>
          <w:rFonts w:hint="eastAsia" w:ascii="宋体" w:hAnsi="宋体" w:eastAsia="宋体" w:cs="宋体"/>
          <w:sz w:val="32"/>
          <w:szCs w:val="32"/>
          <w:lang w:val="en-US" w:eastAsia="zh-CN"/>
        </w:rPr>
      </w:pPr>
      <w:r>
        <w:rPr>
          <w:rFonts w:hint="eastAsia" w:ascii="黑体" w:hAnsi="黑体" w:eastAsia="黑体" w:cs="黑体"/>
          <w:sz w:val="32"/>
          <w:szCs w:val="32"/>
          <w:lang w:val="en-US" w:eastAsia="zh-CN"/>
        </w:rPr>
        <w:t>八、服务方案</w:t>
      </w:r>
      <w:r>
        <w:rPr>
          <w:rFonts w:hint="eastAsia" w:ascii="宋体" w:hAnsi="宋体" w:eastAsia="宋体" w:cs="宋体"/>
          <w:sz w:val="32"/>
          <w:szCs w:val="32"/>
          <w:lang w:val="en-US" w:eastAsia="zh-CN"/>
        </w:rPr>
        <w:t>（</w:t>
      </w:r>
      <w:r>
        <w:rPr>
          <w:rFonts w:hint="eastAsia" w:ascii="宋体" w:hAnsi="宋体" w:eastAsia="宋体" w:cs="宋体"/>
          <w:kern w:val="2"/>
          <w:sz w:val="28"/>
          <w:szCs w:val="28"/>
          <w:lang w:val="en-US" w:eastAsia="zh-CN" w:bidi="ar-SA"/>
        </w:rPr>
        <w:t>格式自拟</w:t>
      </w:r>
      <w:r>
        <w:rPr>
          <w:rFonts w:hint="eastAsia" w:ascii="宋体" w:hAnsi="宋体" w:eastAsia="宋体" w:cs="宋体"/>
          <w:sz w:val="32"/>
          <w:szCs w:val="32"/>
          <w:lang w:val="en-US" w:eastAsia="zh-CN"/>
        </w:rPr>
        <w:t>）</w:t>
      </w:r>
    </w:p>
    <w:p>
      <w:pPr>
        <w:rPr>
          <w:rFonts w:ascii="黑体" w:hAnsi="黑体" w:eastAsia="黑体" w:cs="黑体"/>
          <w:sz w:val="32"/>
          <w:szCs w:val="32"/>
        </w:rPr>
      </w:pPr>
      <w:bookmarkStart w:id="8" w:name="_GoBack"/>
      <w:bookmarkEnd w:id="8"/>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Pr>
        <w:pStyle w:val="19"/>
        <w:spacing w:before="0" w:beforeAutospacing="0" w:after="0" w:afterAutospacing="0" w:line="480" w:lineRule="exact"/>
        <w:rPr>
          <w:rFonts w:ascii="黑体" w:hAnsi="黑体" w:eastAsia="黑体" w:cs="黑体"/>
          <w:sz w:val="32"/>
          <w:szCs w:val="32"/>
        </w:rPr>
      </w:pPr>
      <w:r>
        <w:rPr>
          <w:rFonts w:hint="eastAsia" w:ascii="黑体" w:hAnsi="黑体" w:eastAsia="黑体" w:cs="黑体"/>
          <w:sz w:val="32"/>
          <w:szCs w:val="32"/>
          <w:lang w:val="en-US" w:eastAsia="zh-CN"/>
        </w:rPr>
        <w:t>九</w:t>
      </w:r>
      <w:r>
        <w:rPr>
          <w:rFonts w:ascii="黑体" w:hAnsi="黑体" w:eastAsia="黑体" w:cs="黑体"/>
          <w:sz w:val="32"/>
          <w:szCs w:val="32"/>
        </w:rPr>
        <w:t>、</w:t>
      </w:r>
      <w:r>
        <w:rPr>
          <w:rFonts w:hint="eastAsia" w:ascii="黑体" w:hAnsi="黑体" w:eastAsia="黑体" w:cs="黑体"/>
          <w:sz w:val="32"/>
          <w:szCs w:val="32"/>
        </w:rPr>
        <w:t>竞争谈判申请人认为有必要提供的其他材料</w:t>
      </w:r>
    </w:p>
    <w:p>
      <w:pPr>
        <w:autoSpaceDE w:val="0"/>
        <w:autoSpaceDN w:val="0"/>
        <w:adjustRightInd w:val="0"/>
        <w:spacing w:after="240" w:line="480" w:lineRule="exact"/>
        <w:jc w:val="center"/>
        <w:rPr>
          <w:rFonts w:ascii="宋体" w:hAnsi="宋体" w:eastAsia="宋体" w:cs="宋体"/>
          <w:sz w:val="28"/>
          <w:szCs w:val="28"/>
        </w:rPr>
      </w:pPr>
      <w:r>
        <w:rPr>
          <w:rFonts w:hint="eastAsia" w:ascii="宋体" w:hAnsi="宋体" w:eastAsia="宋体" w:cs="宋体"/>
          <w:sz w:val="28"/>
          <w:szCs w:val="28"/>
        </w:rPr>
        <w:t>格式自拟</w:t>
      </w:r>
      <w:bookmarkEnd w:id="7"/>
    </w:p>
    <w:p>
      <w:pPr>
        <w:spacing w:line="480" w:lineRule="exact"/>
        <w:rPr>
          <w:rFonts w:ascii="仿宋_GB2312" w:hAnsi="仿宋_GB2312" w:eastAsia="仿宋_GB2312" w:cs="仿宋_GB2312"/>
          <w:b/>
          <w:bCs/>
          <w:kern w:val="0"/>
          <w:sz w:val="32"/>
          <w:szCs w:val="32"/>
        </w:rPr>
      </w:pPr>
    </w:p>
    <w:p>
      <w:pPr>
        <w:spacing w:line="480" w:lineRule="exact"/>
        <w:rPr>
          <w:rFonts w:ascii="仿宋_GB2312" w:hAnsi="仿宋_GB2312" w:eastAsia="仿宋_GB2312" w:cs="仿宋_GB2312"/>
          <w:sz w:val="32"/>
          <w:szCs w:val="32"/>
        </w:rPr>
      </w:pPr>
    </w:p>
    <w:p>
      <w:pPr>
        <w:widowControl/>
        <w:spacing w:line="560" w:lineRule="exact"/>
        <w:jc w:val="lef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widowControl/>
        <w:spacing w:line="560" w:lineRule="exact"/>
        <w:jc w:val="left"/>
        <w:rPr>
          <w:rFonts w:ascii="仿宋_GB2312" w:hAnsi="仿宋_GB2312" w:eastAsia="仿宋_GB2312" w:cs="仿宋_GB2312"/>
          <w:sz w:val="32"/>
          <w:szCs w:val="32"/>
        </w:rPr>
      </w:pPr>
    </w:p>
    <w:sectPr>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Songti SC Regular">
    <w:altName w:val="宋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67310" cy="153035"/>
              <wp:effectExtent l="0" t="0" r="0" b="0"/>
              <wp:wrapNone/>
              <wp:docPr id="3" name="文本框 3"/>
              <wp:cNvGraphicFramePr/>
              <a:graphic xmlns:a="http://schemas.openxmlformats.org/drawingml/2006/main">
                <a:graphicData uri="http://schemas.microsoft.com/office/word/2010/wordprocessingShape">
                  <wps:wsp>
                    <wps:cNvSpPr txBox="1"/>
                    <wps:spPr>
                      <a:xfrm>
                        <a:off x="0" y="0"/>
                        <a:ext cx="67310" cy="153035"/>
                      </a:xfrm>
                      <a:prstGeom prst="rect">
                        <a:avLst/>
                      </a:prstGeom>
                      <a:noFill/>
                      <a:ln>
                        <a:noFill/>
                      </a:ln>
                    </wps:spPr>
                    <wps:txbx>
                      <w:txbxContent>
                        <w:p>
                          <w:pPr>
                            <w:snapToGrid w:val="0"/>
                            <w:rPr>
                              <w:sz w:val="18"/>
                              <w:szCs w:val="18"/>
                            </w:rPr>
                          </w:pPr>
                          <w:r>
                            <w:fldChar w:fldCharType="begin"/>
                          </w:r>
                          <w:r>
                            <w:instrText xml:space="preserve"> PAGE  \* MERGEFORMAT </w:instrText>
                          </w:r>
                          <w:r>
                            <w:fldChar w:fldCharType="separate"/>
                          </w:r>
                          <w:r>
                            <w:t>23</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2.05pt;width:5.3pt;mso-position-horizontal:center;mso-position-horizontal-relative:margin;mso-wrap-style:none;z-index:251661312;mso-width-relative:page;mso-height-relative:page;" filled="f" stroked="f" coordsize="21600,21600" o:gfxdata="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nqzVF0AAAAAMBAAAPAAAAAAAAAAEAIAAAACIAAABkcnMvZG93bnJl&#10;di54bWxQSwECFAAUAAAACACHTuJAGhXAAMwBAACWAwAADgAAAAAAAAABACAAAAAfAQAAZHJzL2Uy&#10;b0RvYy54bWxQSwUGAAAAAAYABgBZAQAAXQUAAAAA&#10;">
              <v:fill on="f" focussize="0,0"/>
              <v:stroke on="f"/>
              <v:imagedata o:title=""/>
              <o:lock v:ext="edit" aspectratio="f"/>
              <v:textbox inset="0mm,0mm,0mm,0mm" style="mso-fit-shape-to-text:t;">
                <w:txbxContent>
                  <w:p>
                    <w:pPr>
                      <w:snapToGrid w:val="0"/>
                      <w:rPr>
                        <w:sz w:val="18"/>
                        <w:szCs w:val="18"/>
                      </w:rPr>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5"/>
      </w:rPr>
    </w:pPr>
    <w:r>
      <w:fldChar w:fldCharType="begin"/>
    </w:r>
    <w:r>
      <w:rPr>
        <w:rStyle w:val="25"/>
      </w:rPr>
      <w:instrText xml:space="preserve">PAGE  </w:instrText>
    </w:r>
    <w:r>
      <w:fldChar w:fldCharType="end"/>
    </w:r>
  </w:p>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ascii="Times New Roman" w:hAnsi="Times New Roman" w:eastAsia="宋体" w:cs="Times New Roman"/>
      </w:rPr>
    </w:pPr>
    <w:r>
      <w:rPr>
        <w:rFonts w:ascii="Times New Roman" w:hAnsi="Times New Roman" w:eastAsia="宋体" w:cs="Times New Roma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pPr>
                            <w:pStyle w:val="14"/>
                            <w:rPr>
                              <w:rFonts w:ascii="Times New Roman" w:hAnsi="Times New Roman" w:eastAsia="宋体" w:cs="Times New Roman"/>
                            </w:rPr>
                          </w:pPr>
                          <w:r>
                            <w:rPr>
                              <w:rFonts w:hint="eastAsia" w:ascii="Times New Roman" w:hAnsi="Times New Roman" w:eastAsia="宋体" w:cs="Times New Roman"/>
                              <w:b/>
                              <w:bCs/>
                              <w:sz w:val="21"/>
                              <w:szCs w:val="21"/>
                            </w:rPr>
                            <w:fldChar w:fldCharType="begin"/>
                          </w:r>
                          <w:r>
                            <w:rPr>
                              <w:rFonts w:hint="eastAsia" w:ascii="Times New Roman" w:hAnsi="Times New Roman" w:eastAsia="宋体" w:cs="Times New Roman"/>
                              <w:b/>
                              <w:bCs/>
                              <w:sz w:val="21"/>
                              <w:szCs w:val="21"/>
                            </w:rPr>
                            <w:instrText xml:space="preserve"> PAGE  \* MERGEFORMAT </w:instrText>
                          </w:r>
                          <w:r>
                            <w:rPr>
                              <w:rFonts w:hint="eastAsia" w:ascii="Times New Roman" w:hAnsi="Times New Roman" w:eastAsia="宋体" w:cs="Times New Roman"/>
                              <w:b/>
                              <w:bCs/>
                              <w:sz w:val="21"/>
                              <w:szCs w:val="21"/>
                            </w:rPr>
                            <w:fldChar w:fldCharType="separate"/>
                          </w:r>
                          <w:r>
                            <w:rPr>
                              <w:rFonts w:ascii="Times New Roman" w:hAnsi="Times New Roman" w:eastAsia="宋体" w:cs="Times New Roman"/>
                              <w:b/>
                              <w:bCs/>
                              <w:sz w:val="21"/>
                              <w:szCs w:val="21"/>
                            </w:rPr>
                            <w:t>- 11 -</w:t>
                          </w:r>
                          <w:r>
                            <w:rPr>
                              <w:rFonts w:hint="eastAsia" w:ascii="Times New Roman" w:hAnsi="Times New Roman" w:eastAsia="宋体" w:cs="Times New Roman"/>
                              <w:b/>
                              <w:bCs/>
                              <w:sz w:val="21"/>
                              <w:szCs w:val="21"/>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D5X5J0AAAAAMBAAAPAAAAAAAAAAEAIAAAACIAAABkcnMvZG93bnJldi54bWxQ&#10;SwECFAAUAAAACACHTuJA5d8FscYBAACLAwAADgAAAAAAAAABACAAAAAfAQAAZHJzL2Uyb0RvYy54&#10;bWxQSwUGAAAAAAYABgBZAQAAVwUAAAAA&#10;">
              <v:fill on="f" focussize="0,0"/>
              <v:stroke on="f"/>
              <v:imagedata o:title=""/>
              <o:lock v:ext="edit" aspectratio="f"/>
              <v:textbox inset="0mm,0mm,0mm,0mm" style="mso-fit-shape-to-text:t;">
                <w:txbxContent>
                  <w:p>
                    <w:pPr>
                      <w:pStyle w:val="14"/>
                      <w:rPr>
                        <w:rFonts w:ascii="Times New Roman" w:hAnsi="Times New Roman" w:eastAsia="宋体" w:cs="Times New Roman"/>
                      </w:rPr>
                    </w:pPr>
                    <w:r>
                      <w:rPr>
                        <w:rFonts w:hint="eastAsia" w:ascii="Times New Roman" w:hAnsi="Times New Roman" w:eastAsia="宋体" w:cs="Times New Roman"/>
                        <w:b/>
                        <w:bCs/>
                        <w:sz w:val="21"/>
                        <w:szCs w:val="21"/>
                      </w:rPr>
                      <w:fldChar w:fldCharType="begin"/>
                    </w:r>
                    <w:r>
                      <w:rPr>
                        <w:rFonts w:hint="eastAsia" w:ascii="Times New Roman" w:hAnsi="Times New Roman" w:eastAsia="宋体" w:cs="Times New Roman"/>
                        <w:b/>
                        <w:bCs/>
                        <w:sz w:val="21"/>
                        <w:szCs w:val="21"/>
                      </w:rPr>
                      <w:instrText xml:space="preserve"> PAGE  \* MERGEFORMAT </w:instrText>
                    </w:r>
                    <w:r>
                      <w:rPr>
                        <w:rFonts w:hint="eastAsia" w:ascii="Times New Roman" w:hAnsi="Times New Roman" w:eastAsia="宋体" w:cs="Times New Roman"/>
                        <w:b/>
                        <w:bCs/>
                        <w:sz w:val="21"/>
                        <w:szCs w:val="21"/>
                      </w:rPr>
                      <w:fldChar w:fldCharType="separate"/>
                    </w:r>
                    <w:r>
                      <w:rPr>
                        <w:rFonts w:ascii="Times New Roman" w:hAnsi="Times New Roman" w:eastAsia="宋体" w:cs="Times New Roman"/>
                        <w:b/>
                        <w:bCs/>
                        <w:sz w:val="21"/>
                        <w:szCs w:val="21"/>
                      </w:rPr>
                      <w:t>- 11 -</w:t>
                    </w:r>
                    <w:r>
                      <w:rPr>
                        <w:rFonts w:hint="eastAsia" w:ascii="Times New Roman" w:hAnsi="Times New Roman" w:eastAsia="宋体" w:cs="Times New Roman"/>
                        <w:b/>
                        <w:bCs/>
                        <w:sz w:val="21"/>
                        <w:szCs w:val="21"/>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spacing w:line="240" w:lineRule="atLeast"/>
      <w:jc w:val="both"/>
      <w:rPr>
        <w:rFonts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spacing w:line="240" w:lineRule="atLeast"/>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CE9390"/>
    <w:multiLevelType w:val="singleLevel"/>
    <w:tmpl w:val="B2CE9390"/>
    <w:lvl w:ilvl="0" w:tentative="0">
      <w:start w:val="2"/>
      <w:numFmt w:val="decimal"/>
      <w:suff w:val="nothing"/>
      <w:lvlText w:val="（%1）"/>
      <w:lvlJc w:val="left"/>
    </w:lvl>
  </w:abstractNum>
  <w:abstractNum w:abstractNumId="1">
    <w:nsid w:val="FD622A49"/>
    <w:multiLevelType w:val="singleLevel"/>
    <w:tmpl w:val="FD622A49"/>
    <w:lvl w:ilvl="0" w:tentative="0">
      <w:start w:val="1"/>
      <w:numFmt w:val="decimal"/>
      <w:suff w:val="space"/>
      <w:lvlText w:val="%1."/>
      <w:lvlJc w:val="left"/>
    </w:lvl>
  </w:abstractNum>
  <w:abstractNum w:abstractNumId="2">
    <w:nsid w:val="682D43AF"/>
    <w:multiLevelType w:val="multilevel"/>
    <w:tmpl w:val="682D43AF"/>
    <w:lvl w:ilvl="0" w:tentative="0">
      <w:start w:val="1"/>
      <w:numFmt w:val="decimal"/>
      <w:pStyle w:val="49"/>
      <w:lvlText w:val="%1、"/>
      <w:lvlJc w:val="left"/>
      <w:pPr>
        <w:ind w:left="785" w:hanging="36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MyZDQ0YzY4NWU1YTgxNGM2N2JhYjYyZmY2YzA3ODIifQ=="/>
  </w:docVars>
  <w:rsids>
    <w:rsidRoot w:val="00BC0F6C"/>
    <w:rsid w:val="00006BD4"/>
    <w:rsid w:val="00010B9C"/>
    <w:rsid w:val="00041345"/>
    <w:rsid w:val="000637D2"/>
    <w:rsid w:val="00094C92"/>
    <w:rsid w:val="000A0967"/>
    <w:rsid w:val="00103DDF"/>
    <w:rsid w:val="0011210C"/>
    <w:rsid w:val="0011320D"/>
    <w:rsid w:val="00115AA4"/>
    <w:rsid w:val="00125113"/>
    <w:rsid w:val="001407DD"/>
    <w:rsid w:val="00146D41"/>
    <w:rsid w:val="001528B8"/>
    <w:rsid w:val="001536F9"/>
    <w:rsid w:val="00155A00"/>
    <w:rsid w:val="00155A35"/>
    <w:rsid w:val="00164BA1"/>
    <w:rsid w:val="00175D2C"/>
    <w:rsid w:val="00182515"/>
    <w:rsid w:val="001A0954"/>
    <w:rsid w:val="001A7D3F"/>
    <w:rsid w:val="001B009E"/>
    <w:rsid w:val="001C1F56"/>
    <w:rsid w:val="001D6D33"/>
    <w:rsid w:val="001E12B2"/>
    <w:rsid w:val="0020334A"/>
    <w:rsid w:val="00250A6E"/>
    <w:rsid w:val="00283583"/>
    <w:rsid w:val="002960B9"/>
    <w:rsid w:val="00297E8C"/>
    <w:rsid w:val="002B4FF4"/>
    <w:rsid w:val="002E459C"/>
    <w:rsid w:val="002F274B"/>
    <w:rsid w:val="00303F5C"/>
    <w:rsid w:val="003276FB"/>
    <w:rsid w:val="00351E4A"/>
    <w:rsid w:val="003534EF"/>
    <w:rsid w:val="003910F5"/>
    <w:rsid w:val="003A3E53"/>
    <w:rsid w:val="003F71F3"/>
    <w:rsid w:val="004063F1"/>
    <w:rsid w:val="00444331"/>
    <w:rsid w:val="00454D88"/>
    <w:rsid w:val="0047103C"/>
    <w:rsid w:val="0047718A"/>
    <w:rsid w:val="00481356"/>
    <w:rsid w:val="004A4172"/>
    <w:rsid w:val="004D20CF"/>
    <w:rsid w:val="004E1635"/>
    <w:rsid w:val="004E1FA5"/>
    <w:rsid w:val="00516D64"/>
    <w:rsid w:val="00523CB0"/>
    <w:rsid w:val="00551AAD"/>
    <w:rsid w:val="005607F9"/>
    <w:rsid w:val="0058029E"/>
    <w:rsid w:val="00580EB2"/>
    <w:rsid w:val="005B0222"/>
    <w:rsid w:val="005C0914"/>
    <w:rsid w:val="005F0D55"/>
    <w:rsid w:val="005F3D78"/>
    <w:rsid w:val="006015E1"/>
    <w:rsid w:val="00636112"/>
    <w:rsid w:val="0066523C"/>
    <w:rsid w:val="006749B6"/>
    <w:rsid w:val="00674A67"/>
    <w:rsid w:val="00681CDE"/>
    <w:rsid w:val="00682F3D"/>
    <w:rsid w:val="006B7AF1"/>
    <w:rsid w:val="006C058F"/>
    <w:rsid w:val="006E12F3"/>
    <w:rsid w:val="006F2CAC"/>
    <w:rsid w:val="007101DB"/>
    <w:rsid w:val="00736528"/>
    <w:rsid w:val="007566FA"/>
    <w:rsid w:val="00795790"/>
    <w:rsid w:val="007C366A"/>
    <w:rsid w:val="007D1EC5"/>
    <w:rsid w:val="007E310C"/>
    <w:rsid w:val="007E6ACB"/>
    <w:rsid w:val="007F5D39"/>
    <w:rsid w:val="00827524"/>
    <w:rsid w:val="008457C1"/>
    <w:rsid w:val="00881259"/>
    <w:rsid w:val="00890BA7"/>
    <w:rsid w:val="008B321E"/>
    <w:rsid w:val="008D7CB9"/>
    <w:rsid w:val="008F0C7A"/>
    <w:rsid w:val="00904894"/>
    <w:rsid w:val="00910AF8"/>
    <w:rsid w:val="00924EE9"/>
    <w:rsid w:val="0092569A"/>
    <w:rsid w:val="00931EEA"/>
    <w:rsid w:val="0093782A"/>
    <w:rsid w:val="00940DB7"/>
    <w:rsid w:val="009954D2"/>
    <w:rsid w:val="009D04E0"/>
    <w:rsid w:val="009E614B"/>
    <w:rsid w:val="00A25BCF"/>
    <w:rsid w:val="00A42470"/>
    <w:rsid w:val="00A426AA"/>
    <w:rsid w:val="00A502A7"/>
    <w:rsid w:val="00A74192"/>
    <w:rsid w:val="00AA4801"/>
    <w:rsid w:val="00AA5282"/>
    <w:rsid w:val="00AB7D51"/>
    <w:rsid w:val="00AD22C0"/>
    <w:rsid w:val="00AF3528"/>
    <w:rsid w:val="00B0064F"/>
    <w:rsid w:val="00B0535E"/>
    <w:rsid w:val="00B2040B"/>
    <w:rsid w:val="00B23920"/>
    <w:rsid w:val="00B41081"/>
    <w:rsid w:val="00B45A7A"/>
    <w:rsid w:val="00B5731E"/>
    <w:rsid w:val="00BC0F6C"/>
    <w:rsid w:val="00BC1E18"/>
    <w:rsid w:val="00C351A0"/>
    <w:rsid w:val="00C42257"/>
    <w:rsid w:val="00C42CBD"/>
    <w:rsid w:val="00C54C09"/>
    <w:rsid w:val="00C74100"/>
    <w:rsid w:val="00CA2C3A"/>
    <w:rsid w:val="00CA6E02"/>
    <w:rsid w:val="00CC36BC"/>
    <w:rsid w:val="00CF3665"/>
    <w:rsid w:val="00D41D9B"/>
    <w:rsid w:val="00D520F1"/>
    <w:rsid w:val="00D602A4"/>
    <w:rsid w:val="00D64913"/>
    <w:rsid w:val="00DC68EB"/>
    <w:rsid w:val="00DE0A4F"/>
    <w:rsid w:val="00E01CE1"/>
    <w:rsid w:val="00E11B6D"/>
    <w:rsid w:val="00E17AAE"/>
    <w:rsid w:val="00E56F38"/>
    <w:rsid w:val="00E672C3"/>
    <w:rsid w:val="00EA168E"/>
    <w:rsid w:val="00EC7931"/>
    <w:rsid w:val="00ED13A6"/>
    <w:rsid w:val="00EE4016"/>
    <w:rsid w:val="00EF41FD"/>
    <w:rsid w:val="00F2504D"/>
    <w:rsid w:val="00F2541E"/>
    <w:rsid w:val="00F3349E"/>
    <w:rsid w:val="00F41D57"/>
    <w:rsid w:val="00F5556C"/>
    <w:rsid w:val="00F57ACB"/>
    <w:rsid w:val="00F7073B"/>
    <w:rsid w:val="00F74D96"/>
    <w:rsid w:val="00F90273"/>
    <w:rsid w:val="00FA0870"/>
    <w:rsid w:val="01392875"/>
    <w:rsid w:val="0148243F"/>
    <w:rsid w:val="014B4717"/>
    <w:rsid w:val="01756107"/>
    <w:rsid w:val="025F47FE"/>
    <w:rsid w:val="02C2138C"/>
    <w:rsid w:val="02D63502"/>
    <w:rsid w:val="02E64BB8"/>
    <w:rsid w:val="0421567D"/>
    <w:rsid w:val="0424034B"/>
    <w:rsid w:val="0531594C"/>
    <w:rsid w:val="05D9723C"/>
    <w:rsid w:val="06544701"/>
    <w:rsid w:val="068338F0"/>
    <w:rsid w:val="07886EDD"/>
    <w:rsid w:val="07F644D6"/>
    <w:rsid w:val="080A32C2"/>
    <w:rsid w:val="08212CB3"/>
    <w:rsid w:val="084145E4"/>
    <w:rsid w:val="09A314C8"/>
    <w:rsid w:val="09A702F0"/>
    <w:rsid w:val="09DD6667"/>
    <w:rsid w:val="0A197930"/>
    <w:rsid w:val="0A241084"/>
    <w:rsid w:val="0A5256CF"/>
    <w:rsid w:val="0ABD4635"/>
    <w:rsid w:val="0ADD1EC7"/>
    <w:rsid w:val="0AF37174"/>
    <w:rsid w:val="0B015E0D"/>
    <w:rsid w:val="0B2C7619"/>
    <w:rsid w:val="0B596B3B"/>
    <w:rsid w:val="0B6254B8"/>
    <w:rsid w:val="0B8812E3"/>
    <w:rsid w:val="0B8F32CD"/>
    <w:rsid w:val="0C12426E"/>
    <w:rsid w:val="0C49512D"/>
    <w:rsid w:val="0CC07F93"/>
    <w:rsid w:val="0CC527B9"/>
    <w:rsid w:val="0D877B86"/>
    <w:rsid w:val="0E7D767F"/>
    <w:rsid w:val="0EC05C2D"/>
    <w:rsid w:val="0FEB6EF0"/>
    <w:rsid w:val="10607A21"/>
    <w:rsid w:val="10972CB2"/>
    <w:rsid w:val="10A7416D"/>
    <w:rsid w:val="10C7497D"/>
    <w:rsid w:val="124B2CEF"/>
    <w:rsid w:val="13202033"/>
    <w:rsid w:val="14237FFD"/>
    <w:rsid w:val="1489032D"/>
    <w:rsid w:val="14B73CFA"/>
    <w:rsid w:val="152A077B"/>
    <w:rsid w:val="1595559A"/>
    <w:rsid w:val="16C02FF8"/>
    <w:rsid w:val="1839568B"/>
    <w:rsid w:val="188E02F2"/>
    <w:rsid w:val="195B07E2"/>
    <w:rsid w:val="19C923CA"/>
    <w:rsid w:val="1A1B3AE7"/>
    <w:rsid w:val="1A210DE9"/>
    <w:rsid w:val="1AEF5A24"/>
    <w:rsid w:val="1B1E56F8"/>
    <w:rsid w:val="1B8F1384"/>
    <w:rsid w:val="1B947A2D"/>
    <w:rsid w:val="1BBB3818"/>
    <w:rsid w:val="1C7D6019"/>
    <w:rsid w:val="1CF27BE3"/>
    <w:rsid w:val="1D8D21D3"/>
    <w:rsid w:val="1E056ED6"/>
    <w:rsid w:val="1E161F91"/>
    <w:rsid w:val="1ECF20DA"/>
    <w:rsid w:val="1F2C455F"/>
    <w:rsid w:val="201B1A88"/>
    <w:rsid w:val="20CC6450"/>
    <w:rsid w:val="213A01D0"/>
    <w:rsid w:val="21A02A9A"/>
    <w:rsid w:val="21D621B5"/>
    <w:rsid w:val="21EF2FA4"/>
    <w:rsid w:val="223914DE"/>
    <w:rsid w:val="22903D60"/>
    <w:rsid w:val="22D4049C"/>
    <w:rsid w:val="2348359C"/>
    <w:rsid w:val="235A5E54"/>
    <w:rsid w:val="23B52A6C"/>
    <w:rsid w:val="23F941CF"/>
    <w:rsid w:val="24CF57F6"/>
    <w:rsid w:val="24E74000"/>
    <w:rsid w:val="253A3F8F"/>
    <w:rsid w:val="25AA3230"/>
    <w:rsid w:val="25BB71E1"/>
    <w:rsid w:val="25C8517E"/>
    <w:rsid w:val="260D6B1F"/>
    <w:rsid w:val="262C3CB3"/>
    <w:rsid w:val="26722788"/>
    <w:rsid w:val="26B41641"/>
    <w:rsid w:val="26B45AC2"/>
    <w:rsid w:val="272318E0"/>
    <w:rsid w:val="27685C3B"/>
    <w:rsid w:val="27785226"/>
    <w:rsid w:val="27B45E59"/>
    <w:rsid w:val="27D719E6"/>
    <w:rsid w:val="283F2640"/>
    <w:rsid w:val="2A086B7E"/>
    <w:rsid w:val="2A4875E7"/>
    <w:rsid w:val="2A883081"/>
    <w:rsid w:val="2AC16776"/>
    <w:rsid w:val="2AEB00A4"/>
    <w:rsid w:val="2B5A2B74"/>
    <w:rsid w:val="2BDC446C"/>
    <w:rsid w:val="2BFD4495"/>
    <w:rsid w:val="2E356E3F"/>
    <w:rsid w:val="2E3A20F4"/>
    <w:rsid w:val="2E6A464B"/>
    <w:rsid w:val="2E7C3E97"/>
    <w:rsid w:val="2F49009F"/>
    <w:rsid w:val="2F6A47F9"/>
    <w:rsid w:val="2F9D298F"/>
    <w:rsid w:val="2FD004C8"/>
    <w:rsid w:val="2FE979B1"/>
    <w:rsid w:val="313C4948"/>
    <w:rsid w:val="317026F7"/>
    <w:rsid w:val="317646E1"/>
    <w:rsid w:val="31E22755"/>
    <w:rsid w:val="32083D46"/>
    <w:rsid w:val="32613E83"/>
    <w:rsid w:val="326635EE"/>
    <w:rsid w:val="3297613E"/>
    <w:rsid w:val="32B005F3"/>
    <w:rsid w:val="336B44CD"/>
    <w:rsid w:val="33B3793D"/>
    <w:rsid w:val="33E94635"/>
    <w:rsid w:val="33FA5014"/>
    <w:rsid w:val="340725E8"/>
    <w:rsid w:val="34640A93"/>
    <w:rsid w:val="34C37BC3"/>
    <w:rsid w:val="34C42AB1"/>
    <w:rsid w:val="34D7333D"/>
    <w:rsid w:val="34FC317F"/>
    <w:rsid w:val="353B080B"/>
    <w:rsid w:val="359B1A01"/>
    <w:rsid w:val="359B5C97"/>
    <w:rsid w:val="35A6540C"/>
    <w:rsid w:val="36535D5B"/>
    <w:rsid w:val="368D34A9"/>
    <w:rsid w:val="36AE1439"/>
    <w:rsid w:val="36E92943"/>
    <w:rsid w:val="372B599C"/>
    <w:rsid w:val="375C29A1"/>
    <w:rsid w:val="37785996"/>
    <w:rsid w:val="37E31BA7"/>
    <w:rsid w:val="385F7E8B"/>
    <w:rsid w:val="38E43DAE"/>
    <w:rsid w:val="3A2E681C"/>
    <w:rsid w:val="3A3C7852"/>
    <w:rsid w:val="3A656AF1"/>
    <w:rsid w:val="3AF82FA5"/>
    <w:rsid w:val="3AFD0135"/>
    <w:rsid w:val="3B6B28F7"/>
    <w:rsid w:val="3B817881"/>
    <w:rsid w:val="3B84453C"/>
    <w:rsid w:val="3BDA0B7B"/>
    <w:rsid w:val="3BE83A60"/>
    <w:rsid w:val="3C585A33"/>
    <w:rsid w:val="3C6C1BF1"/>
    <w:rsid w:val="3C951AC7"/>
    <w:rsid w:val="3CB93C4C"/>
    <w:rsid w:val="3D1B1F20"/>
    <w:rsid w:val="3D846AE7"/>
    <w:rsid w:val="3DA23F74"/>
    <w:rsid w:val="3EAE7624"/>
    <w:rsid w:val="3F3F06A2"/>
    <w:rsid w:val="3F4F7B0A"/>
    <w:rsid w:val="3F76581F"/>
    <w:rsid w:val="3FE9058F"/>
    <w:rsid w:val="403C0319"/>
    <w:rsid w:val="40432E43"/>
    <w:rsid w:val="40A2550C"/>
    <w:rsid w:val="416C00E4"/>
    <w:rsid w:val="41A47615"/>
    <w:rsid w:val="42470D2C"/>
    <w:rsid w:val="42E90BB8"/>
    <w:rsid w:val="43CC04AE"/>
    <w:rsid w:val="440405AD"/>
    <w:rsid w:val="447845F0"/>
    <w:rsid w:val="447C5211"/>
    <w:rsid w:val="448A0A79"/>
    <w:rsid w:val="452A3A29"/>
    <w:rsid w:val="467702E6"/>
    <w:rsid w:val="47536428"/>
    <w:rsid w:val="479C67BA"/>
    <w:rsid w:val="47A70390"/>
    <w:rsid w:val="488E128A"/>
    <w:rsid w:val="48F962EF"/>
    <w:rsid w:val="48FD5407"/>
    <w:rsid w:val="490E77CC"/>
    <w:rsid w:val="493F0316"/>
    <w:rsid w:val="49AF0E09"/>
    <w:rsid w:val="4A325B01"/>
    <w:rsid w:val="4A4F33AB"/>
    <w:rsid w:val="4B673DD2"/>
    <w:rsid w:val="4B834640"/>
    <w:rsid w:val="4BD9086C"/>
    <w:rsid w:val="4C623339"/>
    <w:rsid w:val="4D162C27"/>
    <w:rsid w:val="4D6B742A"/>
    <w:rsid w:val="4D971FD1"/>
    <w:rsid w:val="4E8A358B"/>
    <w:rsid w:val="4E8C5DAC"/>
    <w:rsid w:val="4E8F2DFE"/>
    <w:rsid w:val="4F493E1E"/>
    <w:rsid w:val="4F51038B"/>
    <w:rsid w:val="50335A38"/>
    <w:rsid w:val="51F91412"/>
    <w:rsid w:val="52774F0E"/>
    <w:rsid w:val="5319575F"/>
    <w:rsid w:val="5372452E"/>
    <w:rsid w:val="53B4789F"/>
    <w:rsid w:val="53B638A1"/>
    <w:rsid w:val="5408304A"/>
    <w:rsid w:val="54520F9A"/>
    <w:rsid w:val="546B24C9"/>
    <w:rsid w:val="54717E68"/>
    <w:rsid w:val="548F224F"/>
    <w:rsid w:val="54A879FA"/>
    <w:rsid w:val="54C258BF"/>
    <w:rsid w:val="5612181B"/>
    <w:rsid w:val="56181C1F"/>
    <w:rsid w:val="563E774E"/>
    <w:rsid w:val="56536DC4"/>
    <w:rsid w:val="568023A9"/>
    <w:rsid w:val="57B27840"/>
    <w:rsid w:val="57BD73FB"/>
    <w:rsid w:val="57F61163"/>
    <w:rsid w:val="57F90066"/>
    <w:rsid w:val="58022FE2"/>
    <w:rsid w:val="586976EC"/>
    <w:rsid w:val="58E512DE"/>
    <w:rsid w:val="58F4339B"/>
    <w:rsid w:val="594230FD"/>
    <w:rsid w:val="59B110A0"/>
    <w:rsid w:val="59E54A1E"/>
    <w:rsid w:val="5A8316D3"/>
    <w:rsid w:val="5ABE0511"/>
    <w:rsid w:val="5B1865C0"/>
    <w:rsid w:val="5B6C2A9A"/>
    <w:rsid w:val="5BB40CF9"/>
    <w:rsid w:val="5C2A207D"/>
    <w:rsid w:val="5C66195E"/>
    <w:rsid w:val="5C985BA8"/>
    <w:rsid w:val="5CE661BB"/>
    <w:rsid w:val="5D732CF7"/>
    <w:rsid w:val="5E367C32"/>
    <w:rsid w:val="5E4549E6"/>
    <w:rsid w:val="5E804327"/>
    <w:rsid w:val="5E9B7945"/>
    <w:rsid w:val="5EDD15B1"/>
    <w:rsid w:val="5EDF5AB2"/>
    <w:rsid w:val="5F4C78FF"/>
    <w:rsid w:val="5F885BBC"/>
    <w:rsid w:val="601C3B4F"/>
    <w:rsid w:val="603F7786"/>
    <w:rsid w:val="61887142"/>
    <w:rsid w:val="61981767"/>
    <w:rsid w:val="623E6FF2"/>
    <w:rsid w:val="628705D8"/>
    <w:rsid w:val="62B82786"/>
    <w:rsid w:val="62BC2C04"/>
    <w:rsid w:val="62C61228"/>
    <w:rsid w:val="62E61B60"/>
    <w:rsid w:val="62F95255"/>
    <w:rsid w:val="63C247B2"/>
    <w:rsid w:val="63C43BDD"/>
    <w:rsid w:val="64342198"/>
    <w:rsid w:val="64542B9C"/>
    <w:rsid w:val="647D0572"/>
    <w:rsid w:val="64EE7E66"/>
    <w:rsid w:val="652644A6"/>
    <w:rsid w:val="654E1E00"/>
    <w:rsid w:val="65764226"/>
    <w:rsid w:val="65BA7E74"/>
    <w:rsid w:val="66543CBD"/>
    <w:rsid w:val="673A3BEC"/>
    <w:rsid w:val="67B66B0A"/>
    <w:rsid w:val="67F4734B"/>
    <w:rsid w:val="68125DE5"/>
    <w:rsid w:val="6861124B"/>
    <w:rsid w:val="68815CCC"/>
    <w:rsid w:val="68A6018D"/>
    <w:rsid w:val="697E1E20"/>
    <w:rsid w:val="697E5FEE"/>
    <w:rsid w:val="69C21754"/>
    <w:rsid w:val="69C67089"/>
    <w:rsid w:val="6A387D6F"/>
    <w:rsid w:val="6AB22869"/>
    <w:rsid w:val="6ABD4942"/>
    <w:rsid w:val="6AC7204B"/>
    <w:rsid w:val="6B1A1518"/>
    <w:rsid w:val="6C931EA9"/>
    <w:rsid w:val="6D843635"/>
    <w:rsid w:val="6DEF53B6"/>
    <w:rsid w:val="6E807B4E"/>
    <w:rsid w:val="6E8F1950"/>
    <w:rsid w:val="6E9D5013"/>
    <w:rsid w:val="6F175E66"/>
    <w:rsid w:val="6F5041D2"/>
    <w:rsid w:val="6F5E5F22"/>
    <w:rsid w:val="6FAA2DAA"/>
    <w:rsid w:val="6FC827D8"/>
    <w:rsid w:val="6FE1740C"/>
    <w:rsid w:val="70E524FE"/>
    <w:rsid w:val="72D421E5"/>
    <w:rsid w:val="72E567BA"/>
    <w:rsid w:val="72ED2E9E"/>
    <w:rsid w:val="73A23710"/>
    <w:rsid w:val="73B53F94"/>
    <w:rsid w:val="73C20424"/>
    <w:rsid w:val="744F4818"/>
    <w:rsid w:val="74B273B6"/>
    <w:rsid w:val="74E50D5C"/>
    <w:rsid w:val="74EF4CCF"/>
    <w:rsid w:val="74FD201A"/>
    <w:rsid w:val="750C3021"/>
    <w:rsid w:val="759C7DD3"/>
    <w:rsid w:val="76194BAB"/>
    <w:rsid w:val="76293C89"/>
    <w:rsid w:val="768A3DFB"/>
    <w:rsid w:val="770B6971"/>
    <w:rsid w:val="77FE2F07"/>
    <w:rsid w:val="7945764E"/>
    <w:rsid w:val="79580A67"/>
    <w:rsid w:val="796B56B7"/>
    <w:rsid w:val="79984EA4"/>
    <w:rsid w:val="79B35C71"/>
    <w:rsid w:val="79EC376C"/>
    <w:rsid w:val="7A043793"/>
    <w:rsid w:val="7A157D36"/>
    <w:rsid w:val="7A671809"/>
    <w:rsid w:val="7A8D12AB"/>
    <w:rsid w:val="7B4D0EC0"/>
    <w:rsid w:val="7B5232C0"/>
    <w:rsid w:val="7BA5393E"/>
    <w:rsid w:val="7BB75E46"/>
    <w:rsid w:val="7C2172EC"/>
    <w:rsid w:val="7C432401"/>
    <w:rsid w:val="7C9434A2"/>
    <w:rsid w:val="7CC45226"/>
    <w:rsid w:val="7D351998"/>
    <w:rsid w:val="7D773153"/>
    <w:rsid w:val="7D7C3562"/>
    <w:rsid w:val="7D87411A"/>
    <w:rsid w:val="7DA642DD"/>
    <w:rsid w:val="7DC96018"/>
    <w:rsid w:val="7DDB53D1"/>
    <w:rsid w:val="7DE524BC"/>
    <w:rsid w:val="7E297063"/>
    <w:rsid w:val="7EA50DFB"/>
    <w:rsid w:val="7F281D17"/>
    <w:rsid w:val="7F3C7C4F"/>
    <w:rsid w:val="7F7361B0"/>
    <w:rsid w:val="7FB73E09"/>
    <w:rsid w:val="7FEB9500"/>
    <w:rsid w:val="ABBB9A66"/>
    <w:rsid w:val="B79D037B"/>
    <w:rsid w:val="BADAD506"/>
    <w:rsid w:val="D97ED2AB"/>
    <w:rsid w:val="DFF56425"/>
    <w:rsid w:val="E6F3EEB4"/>
    <w:rsid w:val="EFF5F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qFormat="1" w:unhideWhenUsed="0" w:uiPriority="0" w:semiHidden="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99"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40"/>
    <w:qFormat/>
    <w:uiPriority w:val="99"/>
    <w:pPr>
      <w:spacing w:before="340" w:after="240" w:line="578" w:lineRule="auto"/>
      <w:jc w:val="center"/>
      <w:outlineLvl w:val="0"/>
    </w:pPr>
    <w:rPr>
      <w:rFonts w:ascii="Times New Roman" w:hAnsi="Times New Roman" w:eastAsia="黑体" w:cs="Times New Roman"/>
      <w:b/>
      <w:bCs/>
      <w:kern w:val="44"/>
      <w:sz w:val="44"/>
      <w:szCs w:val="44"/>
    </w:rPr>
  </w:style>
  <w:style w:type="paragraph" w:styleId="5">
    <w:name w:val="heading 2"/>
    <w:basedOn w:val="1"/>
    <w:next w:val="1"/>
    <w:link w:val="41"/>
    <w:qFormat/>
    <w:uiPriority w:val="99"/>
    <w:pPr>
      <w:tabs>
        <w:tab w:val="left" w:pos="-720"/>
        <w:tab w:val="left" w:pos="1200"/>
      </w:tabs>
      <w:spacing w:beforeLines="100" w:afterLines="50" w:line="360" w:lineRule="auto"/>
      <w:jc w:val="left"/>
      <w:outlineLvl w:val="1"/>
    </w:pPr>
    <w:rPr>
      <w:rFonts w:ascii="Arial" w:hAnsi="Arial" w:eastAsia="黑体" w:cs="Times New Roman"/>
      <w:b/>
      <w:bCs/>
      <w:kern w:val="0"/>
      <w:sz w:val="32"/>
      <w:szCs w:val="32"/>
    </w:rPr>
  </w:style>
  <w:style w:type="paragraph" w:styleId="6">
    <w:name w:val="heading 3"/>
    <w:basedOn w:val="1"/>
    <w:next w:val="7"/>
    <w:link w:val="34"/>
    <w:qFormat/>
    <w:uiPriority w:val="0"/>
    <w:pPr>
      <w:keepNext/>
      <w:keepLines/>
      <w:spacing w:before="260" w:after="260" w:line="416" w:lineRule="auto"/>
      <w:outlineLvl w:val="2"/>
    </w:pPr>
    <w:rPr>
      <w:b/>
      <w:bCs/>
      <w:sz w:val="32"/>
      <w:szCs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0"/>
    <w:pPr>
      <w:ind w:firstLine="420" w:firstLineChars="200"/>
    </w:pPr>
    <w:rPr>
      <w:rFonts w:ascii="Calibri" w:hAnsi="Calibri"/>
      <w:szCs w:val="22"/>
    </w:rPr>
  </w:style>
  <w:style w:type="paragraph" w:styleId="3">
    <w:name w:val="Body Text Indent"/>
    <w:basedOn w:val="1"/>
    <w:unhideWhenUsed/>
    <w:qFormat/>
    <w:uiPriority w:val="0"/>
    <w:pPr>
      <w:spacing w:after="120"/>
      <w:ind w:left="420" w:leftChars="200"/>
    </w:pPr>
    <w:rPr>
      <w:rFonts w:ascii="Times New Roman" w:hAnsi="Times New Roman"/>
      <w:szCs w:val="20"/>
    </w:rPr>
  </w:style>
  <w:style w:type="paragraph" w:styleId="7">
    <w:name w:val="Normal Indent"/>
    <w:basedOn w:val="1"/>
    <w:qFormat/>
    <w:uiPriority w:val="0"/>
    <w:pPr>
      <w:ind w:firstLine="420" w:firstLineChars="200"/>
    </w:pPr>
  </w:style>
  <w:style w:type="paragraph" w:styleId="8">
    <w:name w:val="annotation text"/>
    <w:basedOn w:val="1"/>
    <w:link w:val="35"/>
    <w:qFormat/>
    <w:uiPriority w:val="0"/>
    <w:pPr>
      <w:jc w:val="left"/>
    </w:pPr>
  </w:style>
  <w:style w:type="paragraph" w:styleId="9">
    <w:name w:val="Body Text"/>
    <w:basedOn w:val="1"/>
    <w:next w:val="1"/>
    <w:qFormat/>
    <w:uiPriority w:val="0"/>
    <w:pPr>
      <w:spacing w:after="120"/>
    </w:pPr>
  </w:style>
  <w:style w:type="paragraph" w:styleId="10">
    <w:name w:val="Plain Text"/>
    <w:basedOn w:val="1"/>
    <w:unhideWhenUsed/>
    <w:qFormat/>
    <w:uiPriority w:val="0"/>
    <w:rPr>
      <w:rFonts w:ascii="宋体" w:hAnsi="Courier New"/>
      <w:szCs w:val="20"/>
    </w:rPr>
  </w:style>
  <w:style w:type="paragraph" w:styleId="11">
    <w:name w:val="Date"/>
    <w:basedOn w:val="1"/>
    <w:next w:val="1"/>
    <w:link w:val="38"/>
    <w:qFormat/>
    <w:uiPriority w:val="0"/>
    <w:pPr>
      <w:ind w:left="100" w:leftChars="2500"/>
    </w:pPr>
  </w:style>
  <w:style w:type="paragraph" w:styleId="12">
    <w:name w:val="Body Text Indent 2"/>
    <w:basedOn w:val="1"/>
    <w:qFormat/>
    <w:uiPriority w:val="0"/>
    <w:pPr>
      <w:autoSpaceDE w:val="0"/>
      <w:autoSpaceDN w:val="0"/>
      <w:adjustRightInd w:val="0"/>
      <w:snapToGrid w:val="0"/>
      <w:spacing w:line="360" w:lineRule="auto"/>
      <w:ind w:left="1133" w:hanging="1133" w:hangingChars="472"/>
    </w:pPr>
    <w:rPr>
      <w:sz w:val="24"/>
    </w:rPr>
  </w:style>
  <w:style w:type="paragraph" w:styleId="13">
    <w:name w:val="Balloon Text"/>
    <w:basedOn w:val="1"/>
    <w:link w:val="30"/>
    <w:qFormat/>
    <w:uiPriority w:val="0"/>
    <w:rPr>
      <w:sz w:val="18"/>
      <w:szCs w:val="18"/>
    </w:rPr>
  </w:style>
  <w:style w:type="paragraph" w:styleId="14">
    <w:name w:val="footer"/>
    <w:basedOn w:val="1"/>
    <w:link w:val="32"/>
    <w:qFormat/>
    <w:uiPriority w:val="0"/>
    <w:pPr>
      <w:tabs>
        <w:tab w:val="center" w:pos="4153"/>
        <w:tab w:val="right" w:pos="8306"/>
      </w:tabs>
      <w:snapToGrid w:val="0"/>
      <w:jc w:val="left"/>
    </w:pPr>
    <w:rPr>
      <w:sz w:val="18"/>
      <w:szCs w:val="18"/>
    </w:rPr>
  </w:style>
  <w:style w:type="paragraph" w:styleId="15">
    <w:name w:val="header"/>
    <w:basedOn w:val="1"/>
    <w:link w:val="31"/>
    <w:qFormat/>
    <w:uiPriority w:val="0"/>
    <w:pPr>
      <w:pBdr>
        <w:bottom w:val="single" w:color="auto" w:sz="6" w:space="1"/>
      </w:pBdr>
      <w:tabs>
        <w:tab w:val="center" w:pos="4153"/>
        <w:tab w:val="right" w:pos="8306"/>
      </w:tabs>
      <w:snapToGrid w:val="0"/>
      <w:jc w:val="center"/>
    </w:pPr>
    <w:rPr>
      <w:sz w:val="18"/>
      <w:szCs w:val="18"/>
    </w:rPr>
  </w:style>
  <w:style w:type="paragraph" w:styleId="16">
    <w:name w:val="toc 4"/>
    <w:basedOn w:val="1"/>
    <w:next w:val="1"/>
    <w:qFormat/>
    <w:uiPriority w:val="0"/>
    <w:pPr>
      <w:ind w:left="600" w:leftChars="600"/>
    </w:pPr>
    <w:rPr>
      <w:rFonts w:ascii="等线" w:eastAsia="等线"/>
      <w:szCs w:val="22"/>
    </w:rPr>
  </w:style>
  <w:style w:type="paragraph" w:styleId="17">
    <w:name w:val="Subtitle"/>
    <w:basedOn w:val="1"/>
    <w:next w:val="1"/>
    <w:qFormat/>
    <w:uiPriority w:val="99"/>
    <w:pPr>
      <w:spacing w:before="240" w:after="60" w:line="312" w:lineRule="auto"/>
      <w:jc w:val="left"/>
      <w:outlineLvl w:val="1"/>
    </w:pPr>
    <w:rPr>
      <w:rFonts w:ascii="Cambria" w:hAnsi="Cambria" w:cs="Cambria"/>
      <w:b/>
      <w:bCs/>
      <w:kern w:val="28"/>
      <w:sz w:val="30"/>
      <w:szCs w:val="30"/>
    </w:rPr>
  </w:style>
  <w:style w:type="paragraph" w:styleId="18">
    <w:name w:val="Body Text 2"/>
    <w:qFormat/>
    <w:uiPriority w:val="0"/>
    <w:pPr>
      <w:widowControl w:val="0"/>
      <w:spacing w:after="120" w:line="480" w:lineRule="auto"/>
      <w:jc w:val="both"/>
    </w:pPr>
    <w:rPr>
      <w:rFonts w:asciiTheme="minorHAnsi" w:hAnsiTheme="minorHAnsi" w:eastAsiaTheme="minorEastAsia" w:cstheme="minorBidi"/>
      <w:kern w:val="2"/>
      <w:sz w:val="21"/>
      <w:szCs w:val="24"/>
      <w:lang w:val="en-US" w:eastAsia="zh-CN" w:bidi="ar-SA"/>
    </w:rPr>
  </w:style>
  <w:style w:type="paragraph" w:styleId="19">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styleId="20">
    <w:name w:val="annotation subject"/>
    <w:basedOn w:val="8"/>
    <w:next w:val="8"/>
    <w:link w:val="36"/>
    <w:qFormat/>
    <w:uiPriority w:val="0"/>
    <w:rPr>
      <w:b/>
      <w:bCs/>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qFormat/>
    <w:uiPriority w:val="0"/>
    <w:rPr>
      <w:b/>
      <w:bCs/>
    </w:rPr>
  </w:style>
  <w:style w:type="character" w:styleId="25">
    <w:name w:val="page number"/>
    <w:basedOn w:val="23"/>
    <w:qFormat/>
    <w:uiPriority w:val="0"/>
  </w:style>
  <w:style w:type="character" w:styleId="26">
    <w:name w:val="FollowedHyperlink"/>
    <w:unhideWhenUsed/>
    <w:qFormat/>
    <w:uiPriority w:val="99"/>
    <w:rPr>
      <w:color w:val="800080"/>
      <w:u w:val="single"/>
    </w:rPr>
  </w:style>
  <w:style w:type="character" w:styleId="27">
    <w:name w:val="Hyperlink"/>
    <w:basedOn w:val="23"/>
    <w:qFormat/>
    <w:uiPriority w:val="0"/>
    <w:rPr>
      <w:color w:val="0000FF"/>
      <w:u w:val="single"/>
    </w:rPr>
  </w:style>
  <w:style w:type="character" w:styleId="28">
    <w:name w:val="annotation reference"/>
    <w:basedOn w:val="23"/>
    <w:qFormat/>
    <w:uiPriority w:val="99"/>
    <w:rPr>
      <w:sz w:val="21"/>
      <w:szCs w:val="21"/>
    </w:rPr>
  </w:style>
  <w:style w:type="paragraph" w:customStyle="1" w:styleId="29">
    <w:name w:val="Index8"/>
    <w:basedOn w:val="1"/>
    <w:next w:val="1"/>
    <w:qFormat/>
    <w:uiPriority w:val="0"/>
    <w:pPr>
      <w:spacing w:line="276" w:lineRule="auto"/>
    </w:pPr>
    <w:rPr>
      <w:rFonts w:ascii="Times New Roman" w:hAnsi="Times New Roman" w:eastAsia="宋体" w:cs="Times New Roman"/>
      <w:color w:val="FF0000"/>
      <w:szCs w:val="21"/>
    </w:rPr>
  </w:style>
  <w:style w:type="character" w:customStyle="1" w:styleId="30">
    <w:name w:val="批注框文本 Char"/>
    <w:basedOn w:val="23"/>
    <w:link w:val="13"/>
    <w:qFormat/>
    <w:uiPriority w:val="0"/>
    <w:rPr>
      <w:rFonts w:asciiTheme="minorHAnsi" w:hAnsiTheme="minorHAnsi" w:eastAsiaTheme="minorEastAsia" w:cstheme="minorBidi"/>
      <w:kern w:val="2"/>
      <w:sz w:val="18"/>
      <w:szCs w:val="18"/>
    </w:rPr>
  </w:style>
  <w:style w:type="character" w:customStyle="1" w:styleId="31">
    <w:name w:val="页眉 Char"/>
    <w:basedOn w:val="23"/>
    <w:link w:val="15"/>
    <w:qFormat/>
    <w:uiPriority w:val="0"/>
    <w:rPr>
      <w:rFonts w:asciiTheme="minorHAnsi" w:hAnsiTheme="minorHAnsi" w:eastAsiaTheme="minorEastAsia" w:cstheme="minorBidi"/>
      <w:kern w:val="2"/>
      <w:sz w:val="18"/>
      <w:szCs w:val="18"/>
    </w:rPr>
  </w:style>
  <w:style w:type="character" w:customStyle="1" w:styleId="32">
    <w:name w:val="页脚 Char"/>
    <w:basedOn w:val="23"/>
    <w:link w:val="14"/>
    <w:qFormat/>
    <w:uiPriority w:val="0"/>
    <w:rPr>
      <w:rFonts w:asciiTheme="minorHAnsi" w:hAnsiTheme="minorHAnsi" w:eastAsiaTheme="minorEastAsia" w:cstheme="minorBidi"/>
      <w:kern w:val="2"/>
      <w:sz w:val="18"/>
      <w:szCs w:val="18"/>
    </w:rPr>
  </w:style>
  <w:style w:type="paragraph" w:customStyle="1" w:styleId="33">
    <w:name w:val="列表段落1"/>
    <w:basedOn w:val="1"/>
    <w:qFormat/>
    <w:uiPriority w:val="99"/>
    <w:pPr>
      <w:ind w:firstLine="420" w:firstLineChars="200"/>
    </w:pPr>
  </w:style>
  <w:style w:type="character" w:customStyle="1" w:styleId="34">
    <w:name w:val="标题 3 Char"/>
    <w:basedOn w:val="23"/>
    <w:link w:val="6"/>
    <w:qFormat/>
    <w:uiPriority w:val="0"/>
    <w:rPr>
      <w:rFonts w:asciiTheme="minorHAnsi" w:hAnsiTheme="minorHAnsi" w:eastAsiaTheme="minorEastAsia" w:cstheme="minorBidi"/>
      <w:b/>
      <w:bCs/>
      <w:kern w:val="2"/>
      <w:sz w:val="32"/>
      <w:szCs w:val="32"/>
    </w:rPr>
  </w:style>
  <w:style w:type="character" w:customStyle="1" w:styleId="35">
    <w:name w:val="批注文字 Char"/>
    <w:basedOn w:val="23"/>
    <w:link w:val="8"/>
    <w:qFormat/>
    <w:uiPriority w:val="0"/>
    <w:rPr>
      <w:rFonts w:asciiTheme="minorHAnsi" w:hAnsiTheme="minorHAnsi" w:eastAsiaTheme="minorEastAsia" w:cstheme="minorBidi"/>
      <w:kern w:val="2"/>
      <w:sz w:val="21"/>
      <w:szCs w:val="24"/>
    </w:rPr>
  </w:style>
  <w:style w:type="character" w:customStyle="1" w:styleId="36">
    <w:name w:val="批注主题 Char"/>
    <w:basedOn w:val="35"/>
    <w:link w:val="20"/>
    <w:qFormat/>
    <w:uiPriority w:val="0"/>
    <w:rPr>
      <w:rFonts w:asciiTheme="minorHAnsi" w:hAnsiTheme="minorHAnsi" w:eastAsiaTheme="minorEastAsia" w:cstheme="minorBidi"/>
      <w:b/>
      <w:bCs/>
      <w:kern w:val="2"/>
      <w:sz w:val="21"/>
      <w:szCs w:val="24"/>
    </w:rPr>
  </w:style>
  <w:style w:type="table" w:customStyle="1" w:styleId="37">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38">
    <w:name w:val="日期 Char"/>
    <w:basedOn w:val="23"/>
    <w:link w:val="11"/>
    <w:qFormat/>
    <w:uiPriority w:val="0"/>
    <w:rPr>
      <w:rFonts w:asciiTheme="minorHAnsi" w:hAnsiTheme="minorHAnsi" w:eastAsiaTheme="minorEastAsia" w:cstheme="minorBidi"/>
      <w:kern w:val="2"/>
      <w:sz w:val="21"/>
      <w:szCs w:val="24"/>
    </w:rPr>
  </w:style>
  <w:style w:type="paragraph" w:customStyle="1" w:styleId="39">
    <w:name w:val="标题 21"/>
    <w:basedOn w:val="1"/>
    <w:next w:val="1"/>
    <w:qFormat/>
    <w:uiPriority w:val="0"/>
    <w:pPr>
      <w:keepNext/>
      <w:keepLines/>
      <w:autoSpaceDE w:val="0"/>
      <w:autoSpaceDN w:val="0"/>
      <w:spacing w:before="260" w:after="260" w:line="408" w:lineRule="auto"/>
    </w:pPr>
    <w:rPr>
      <w:rFonts w:hint="eastAsia" w:ascii="黑体" w:hAnsi="Times New Roman" w:eastAsia="黑体" w:cs="Times New Roman"/>
      <w:b/>
      <w:kern w:val="0"/>
      <w:sz w:val="32"/>
      <w:szCs w:val="20"/>
      <w:lang w:val="zh-CN"/>
    </w:rPr>
  </w:style>
  <w:style w:type="character" w:customStyle="1" w:styleId="40">
    <w:name w:val="标题 1 Char"/>
    <w:basedOn w:val="23"/>
    <w:link w:val="4"/>
    <w:qFormat/>
    <w:uiPriority w:val="99"/>
    <w:rPr>
      <w:rFonts w:eastAsia="黑体"/>
      <w:b/>
      <w:bCs/>
      <w:kern w:val="44"/>
      <w:sz w:val="44"/>
      <w:szCs w:val="44"/>
    </w:rPr>
  </w:style>
  <w:style w:type="character" w:customStyle="1" w:styleId="41">
    <w:name w:val="标题 2 Char"/>
    <w:basedOn w:val="23"/>
    <w:link w:val="5"/>
    <w:qFormat/>
    <w:uiPriority w:val="99"/>
    <w:rPr>
      <w:rFonts w:ascii="Arial" w:hAnsi="Arial" w:eastAsia="黑体"/>
      <w:b/>
      <w:bCs/>
      <w:sz w:val="32"/>
      <w:szCs w:val="32"/>
    </w:rPr>
  </w:style>
  <w:style w:type="character" w:customStyle="1" w:styleId="42">
    <w:name w:val="标题 3 字符"/>
    <w:qFormat/>
    <w:uiPriority w:val="0"/>
    <w:rPr>
      <w:rFonts w:ascii="Times New Roman" w:hAnsi="Times New Roman"/>
      <w:bCs/>
      <w:color w:val="000000"/>
      <w:kern w:val="2"/>
      <w:sz w:val="24"/>
      <w:szCs w:val="24"/>
    </w:rPr>
  </w:style>
  <w:style w:type="paragraph" w:customStyle="1" w:styleId="43">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44">
    <w:name w:val="正文文本 21"/>
    <w:basedOn w:val="1"/>
    <w:qFormat/>
    <w:uiPriority w:val="0"/>
    <w:pPr>
      <w:adjustRightInd w:val="0"/>
      <w:spacing w:line="300" w:lineRule="auto"/>
      <w:ind w:firstLine="640" w:firstLineChars="200"/>
      <w:jc w:val="center"/>
      <w:textAlignment w:val="baseline"/>
    </w:pPr>
    <w:rPr>
      <w:rFonts w:hint="eastAsia" w:ascii="宋体" w:hAnsi="宋体" w:eastAsia="宋体" w:cs="Times New Roman"/>
      <w:kern w:val="0"/>
      <w:sz w:val="24"/>
    </w:rPr>
  </w:style>
  <w:style w:type="paragraph" w:customStyle="1" w:styleId="45">
    <w:name w:val="列出段落1"/>
    <w:basedOn w:val="1"/>
    <w:qFormat/>
    <w:uiPriority w:val="99"/>
    <w:pPr>
      <w:ind w:firstLine="420" w:firstLineChars="200"/>
    </w:pPr>
  </w:style>
  <w:style w:type="paragraph" w:customStyle="1" w:styleId="46">
    <w:name w:val="列出段落2"/>
    <w:basedOn w:val="1"/>
    <w:qFormat/>
    <w:uiPriority w:val="99"/>
    <w:pPr>
      <w:ind w:firstLine="420" w:firstLineChars="200"/>
    </w:pPr>
  </w:style>
  <w:style w:type="paragraph" w:customStyle="1" w:styleId="4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8">
    <w:name w:val="样式 首行缩进:  2 字符"/>
    <w:basedOn w:val="1"/>
    <w:next w:val="16"/>
    <w:qFormat/>
    <w:uiPriority w:val="0"/>
    <w:pPr>
      <w:spacing w:line="400" w:lineRule="exact"/>
      <w:ind w:firstLine="200" w:firstLineChars="200"/>
    </w:pPr>
    <w:rPr>
      <w:rFonts w:cs="宋体"/>
      <w:sz w:val="24"/>
    </w:rPr>
  </w:style>
  <w:style w:type="paragraph" w:customStyle="1" w:styleId="49">
    <w:name w:val="_Style 276"/>
    <w:basedOn w:val="1"/>
    <w:qFormat/>
    <w:uiPriority w:val="0"/>
    <w:pPr>
      <w:numPr>
        <w:ilvl w:val="0"/>
        <w:numId w:val="1"/>
      </w:numPr>
      <w:tabs>
        <w:tab w:val="left" w:pos="1440"/>
      </w:tabs>
      <w:ind w:firstLine="482"/>
    </w:pPr>
    <w:rPr>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3" Type="http://schemas.openxmlformats.org/officeDocument/2006/relationships/fontTable" Target="fontTable.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image" Target="media/image32.png"/><Relationship Id="rId4" Type="http://schemas.openxmlformats.org/officeDocument/2006/relationships/header" Target="header2.xml"/><Relationship Id="rId39" Type="http://schemas.openxmlformats.org/officeDocument/2006/relationships/image" Target="media/image31.png"/><Relationship Id="rId38" Type="http://schemas.openxmlformats.org/officeDocument/2006/relationships/image" Target="media/image30.png"/><Relationship Id="rId37" Type="http://schemas.openxmlformats.org/officeDocument/2006/relationships/image" Target="media/image29.png"/><Relationship Id="rId36" Type="http://schemas.openxmlformats.org/officeDocument/2006/relationships/image" Target="media/image28.png"/><Relationship Id="rId35" Type="http://schemas.openxmlformats.org/officeDocument/2006/relationships/image" Target="media/image27.png"/><Relationship Id="rId34" Type="http://schemas.openxmlformats.org/officeDocument/2006/relationships/image" Target="media/image26.png"/><Relationship Id="rId33" Type="http://schemas.openxmlformats.org/officeDocument/2006/relationships/image" Target="media/image25.png"/><Relationship Id="rId32" Type="http://schemas.openxmlformats.org/officeDocument/2006/relationships/image" Target="media/image24.png"/><Relationship Id="rId31" Type="http://schemas.openxmlformats.org/officeDocument/2006/relationships/image" Target="media/image23.png"/><Relationship Id="rId30" Type="http://schemas.openxmlformats.org/officeDocument/2006/relationships/image" Target="media/image22.png"/><Relationship Id="rId3" Type="http://schemas.openxmlformats.org/officeDocument/2006/relationships/header" Target="header1.xml"/><Relationship Id="rId29" Type="http://schemas.openxmlformats.org/officeDocument/2006/relationships/image" Target="media/image21.png"/><Relationship Id="rId28" Type="http://schemas.openxmlformats.org/officeDocument/2006/relationships/image" Target="media/image20.png"/><Relationship Id="rId27" Type="http://schemas.openxmlformats.org/officeDocument/2006/relationships/image" Target="media/image19.png"/><Relationship Id="rId26" Type="http://schemas.openxmlformats.org/officeDocument/2006/relationships/image" Target="media/image18.png"/><Relationship Id="rId25" Type="http://schemas.openxmlformats.org/officeDocument/2006/relationships/image" Target="media/image17.png"/><Relationship Id="rId24" Type="http://schemas.openxmlformats.org/officeDocument/2006/relationships/image" Target="media/image16.png"/><Relationship Id="rId23" Type="http://schemas.openxmlformats.org/officeDocument/2006/relationships/image" Target="media/image15.pn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55</Pages>
  <Words>23586</Words>
  <Characters>27542</Characters>
  <Lines>84</Lines>
  <Paragraphs>23</Paragraphs>
  <TotalTime>6</TotalTime>
  <ScaleCrop>false</ScaleCrop>
  <LinksUpToDate>false</LinksUpToDate>
  <CharactersWithSpaces>33741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2022-04-26T06:45:00Z</dcterms:created>
  <dc:creator>Administrator</dc:creator>
  <cp:lastModifiedBy>小小小豹～</cp:lastModifiedBy>
  <cp:lastPrinted>2022-09-30T02:37:00Z</cp:lastPrinted>
  <dcterms:modified xsi:type="dcterms:W3CDTF">2022-11-04T01:25:03Z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D3494DFFAA6345E199FE61B34CBF5596</vt:lpwstr>
  </property>
  <property fmtid="{D5CDD505-2E9C-101B-9397-08002B2CF9AE}" pid="4" name="commondata">
    <vt:lpwstr>eyJoZGlkIjoiNTQzOTlhNGEzNGQwMTA1YTA5NTM3ODkxMGRkMjdjMjcifQ==</vt:lpwstr>
  </property>
</Properties>
</file>